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A0" w:rsidRDefault="00ED4D36">
      <w:pPr>
        <w:spacing w:after="200" w:line="276" w:lineRule="auto"/>
        <w:jc w:val="left"/>
        <w:rPr>
          <w:b/>
          <w:i/>
          <w:color w:val="000000"/>
        </w:rPr>
      </w:pPr>
      <w:bookmarkStart w:id="0" w:name="_heading=h.26in1rg" w:colFirst="0" w:colLast="0"/>
      <w:bookmarkEnd w:id="0"/>
      <w:r>
        <w:rPr>
          <w:b/>
          <w:color w:val="000000"/>
          <w:sz w:val="36"/>
          <w:szCs w:val="36"/>
        </w:rPr>
        <w:t>Schedule 24 (</w:t>
      </w:r>
      <w:r>
        <w:rPr>
          <w:b/>
          <w:sz w:val="36"/>
          <w:szCs w:val="36"/>
        </w:rPr>
        <w:t>Financial</w:t>
      </w:r>
      <w:r>
        <w:rPr>
          <w:b/>
          <w:color w:val="000000"/>
          <w:sz w:val="36"/>
          <w:szCs w:val="36"/>
        </w:rPr>
        <w:t xml:space="preserve"> Difficulties)</w:t>
      </w:r>
    </w:p>
    <w:p w:rsidR="008E5DA0" w:rsidRDefault="00ED4D36">
      <w:pPr>
        <w:keepNext/>
        <w:numPr>
          <w:ilvl w:val="0"/>
          <w:numId w:val="1"/>
        </w:numPr>
        <w:pBdr>
          <w:top w:val="nil"/>
          <w:left w:val="nil"/>
          <w:bottom w:val="nil"/>
          <w:right w:val="nil"/>
          <w:between w:val="nil"/>
        </w:pBdr>
        <w:spacing w:before="120"/>
        <w:jc w:val="left"/>
        <w:rPr>
          <w:b/>
          <w:color w:val="000000"/>
        </w:rPr>
      </w:pPr>
      <w:bookmarkStart w:id="1" w:name="_heading=h.3dy6vkm" w:colFirst="0" w:colLast="0"/>
      <w:bookmarkEnd w:id="1"/>
      <w:r>
        <w:rPr>
          <w:b/>
          <w:color w:val="000000"/>
        </w:rPr>
        <w:t>Definitions</w:t>
      </w:r>
    </w:p>
    <w:p w:rsidR="008E5DA0" w:rsidRDefault="00ED4D36">
      <w:pPr>
        <w:keepNext/>
        <w:numPr>
          <w:ilvl w:val="1"/>
          <w:numId w:val="1"/>
        </w:numPr>
        <w:pBdr>
          <w:top w:val="nil"/>
          <w:left w:val="nil"/>
          <w:bottom w:val="nil"/>
          <w:right w:val="nil"/>
          <w:between w:val="nil"/>
        </w:pBdr>
        <w:spacing w:before="120" w:after="120"/>
        <w:jc w:val="left"/>
        <w:rPr>
          <w:color w:val="000000"/>
        </w:rPr>
      </w:pPr>
      <w:r>
        <w:rPr>
          <w:color w:val="000000"/>
        </w:rPr>
        <w:t>In this Schedule, the following words shall have the following meanings and they shall supplement Schedule 1 (Definitions):</w:t>
      </w:r>
    </w:p>
    <w:tbl>
      <w:tblPr>
        <w:tblStyle w:val="ac"/>
        <w:tblW w:w="8080"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4"/>
        <w:gridCol w:w="5456"/>
      </w:tblGrid>
      <w:tr w:rsidR="008E5DA0">
        <w:tc>
          <w:tcPr>
            <w:tcW w:w="2624" w:type="dxa"/>
          </w:tcPr>
          <w:p w:rsidR="008E5DA0" w:rsidRDefault="008E5DA0">
            <w:pPr>
              <w:pBdr>
                <w:top w:val="nil"/>
                <w:left w:val="nil"/>
                <w:bottom w:val="nil"/>
                <w:right w:val="nil"/>
                <w:between w:val="nil"/>
              </w:pBdr>
              <w:spacing w:before="120" w:after="120"/>
              <w:jc w:val="left"/>
              <w:rPr>
                <w:b/>
                <w:color w:val="000000"/>
              </w:rPr>
            </w:pPr>
          </w:p>
        </w:tc>
        <w:tc>
          <w:tcPr>
            <w:tcW w:w="5456" w:type="dxa"/>
          </w:tcPr>
          <w:p w:rsidR="008E5DA0" w:rsidRDefault="008E5DA0">
            <w:pPr>
              <w:pBdr>
                <w:top w:val="nil"/>
                <w:left w:val="nil"/>
                <w:bottom w:val="nil"/>
                <w:right w:val="nil"/>
                <w:between w:val="nil"/>
              </w:pBdr>
              <w:tabs>
                <w:tab w:val="left" w:pos="175"/>
              </w:tabs>
              <w:spacing w:before="120" w:after="120"/>
              <w:jc w:val="left"/>
              <w:rPr>
                <w:color w:val="000000"/>
              </w:rPr>
            </w:pPr>
          </w:p>
        </w:tc>
      </w:tr>
      <w:tr w:rsidR="008E5DA0">
        <w:tc>
          <w:tcPr>
            <w:tcW w:w="2624" w:type="dxa"/>
          </w:tcPr>
          <w:p w:rsidR="008E5DA0" w:rsidRDefault="00ED4D36">
            <w:pPr>
              <w:pBdr>
                <w:top w:val="nil"/>
                <w:left w:val="nil"/>
                <w:bottom w:val="nil"/>
                <w:right w:val="nil"/>
                <w:between w:val="nil"/>
              </w:pBdr>
              <w:spacing w:before="120" w:after="120"/>
              <w:jc w:val="left"/>
              <w:rPr>
                <w:b/>
                <w:color w:val="000000"/>
              </w:rPr>
            </w:pPr>
            <w:r>
              <w:rPr>
                <w:b/>
                <w:color w:val="000000"/>
              </w:rPr>
              <w:t>"Credit Rating Threshold"</w:t>
            </w:r>
          </w:p>
        </w:tc>
        <w:tc>
          <w:tcPr>
            <w:tcW w:w="5456" w:type="dxa"/>
          </w:tcPr>
          <w:p w:rsidR="008E5DA0" w:rsidRDefault="00ED4D36">
            <w:pPr>
              <w:pBdr>
                <w:top w:val="nil"/>
                <w:left w:val="nil"/>
                <w:bottom w:val="nil"/>
                <w:right w:val="nil"/>
                <w:between w:val="nil"/>
              </w:pBdr>
              <w:tabs>
                <w:tab w:val="left" w:pos="175"/>
              </w:tabs>
              <w:spacing w:before="120" w:after="120"/>
              <w:jc w:val="left"/>
              <w:rPr>
                <w:color w:val="000000"/>
              </w:rPr>
            </w:pPr>
            <w:r>
              <w:rPr>
                <w:color w:val="000000"/>
              </w:rPr>
              <w:t>the minimum credit rating level for each entity in the FDE Group as set out in Part A of Annex </w:t>
            </w:r>
            <w:r>
              <w:rPr>
                <w:smallCaps/>
                <w:color w:val="000000"/>
              </w:rPr>
              <w:t>2</w:t>
            </w:r>
            <w:r>
              <w:rPr>
                <w:color w:val="000000"/>
              </w:rPr>
              <w:t xml:space="preserve">; </w:t>
            </w:r>
          </w:p>
        </w:tc>
      </w:tr>
      <w:tr w:rsidR="008E5DA0">
        <w:tc>
          <w:tcPr>
            <w:tcW w:w="2624" w:type="dxa"/>
          </w:tcPr>
          <w:p w:rsidR="008E5DA0" w:rsidRDefault="00ED4D36">
            <w:pPr>
              <w:pBdr>
                <w:top w:val="nil"/>
                <w:left w:val="nil"/>
                <w:bottom w:val="nil"/>
                <w:right w:val="nil"/>
                <w:between w:val="nil"/>
              </w:pBdr>
              <w:spacing w:before="120" w:after="120"/>
              <w:jc w:val="left"/>
              <w:rPr>
                <w:b/>
                <w:color w:val="000000"/>
              </w:rPr>
            </w:pPr>
            <w:r>
              <w:rPr>
                <w:b/>
                <w:color w:val="000000"/>
              </w:rPr>
              <w:t>"Credit Reference Agencies"</w:t>
            </w:r>
          </w:p>
        </w:tc>
        <w:tc>
          <w:tcPr>
            <w:tcW w:w="5456" w:type="dxa"/>
          </w:tcPr>
          <w:p w:rsidR="008E5DA0" w:rsidRDefault="00ED4D36">
            <w:pPr>
              <w:pBdr>
                <w:top w:val="nil"/>
                <w:left w:val="nil"/>
                <w:bottom w:val="nil"/>
                <w:right w:val="nil"/>
                <w:between w:val="nil"/>
              </w:pBdr>
              <w:tabs>
                <w:tab w:val="left" w:pos="175"/>
              </w:tabs>
              <w:spacing w:before="120" w:after="120"/>
              <w:jc w:val="left"/>
              <w:rPr>
                <w:color w:val="000000"/>
              </w:rPr>
            </w:pPr>
            <w:r>
              <w:rPr>
                <w:color w:val="000000"/>
              </w:rPr>
              <w:t xml:space="preserve">the credit reference agencies listed in Part B of Annex </w:t>
            </w:r>
            <w:r>
              <w:rPr>
                <w:smallCaps/>
                <w:color w:val="000000"/>
              </w:rPr>
              <w:t>1</w:t>
            </w:r>
            <w:r>
              <w:rPr>
                <w:color w:val="000000"/>
              </w:rPr>
              <w:t>;</w:t>
            </w:r>
          </w:p>
        </w:tc>
      </w:tr>
      <w:tr w:rsidR="008E5DA0">
        <w:tc>
          <w:tcPr>
            <w:tcW w:w="2624" w:type="dxa"/>
          </w:tcPr>
          <w:p w:rsidR="008E5DA0" w:rsidRDefault="00ED4D36">
            <w:pPr>
              <w:pBdr>
                <w:top w:val="nil"/>
                <w:left w:val="nil"/>
                <w:bottom w:val="nil"/>
                <w:right w:val="nil"/>
                <w:between w:val="nil"/>
              </w:pBdr>
              <w:spacing w:before="120" w:after="120"/>
              <w:jc w:val="left"/>
              <w:rPr>
                <w:b/>
                <w:color w:val="000000"/>
              </w:rPr>
            </w:pPr>
            <w:r>
              <w:rPr>
                <w:b/>
                <w:color w:val="000000"/>
              </w:rPr>
              <w:t>"Credit Score Notification Trigger"</w:t>
            </w:r>
          </w:p>
        </w:tc>
        <w:tc>
          <w:tcPr>
            <w:tcW w:w="5456" w:type="dxa"/>
          </w:tcPr>
          <w:p w:rsidR="008E5DA0" w:rsidRDefault="00ED4D36">
            <w:pPr>
              <w:pBdr>
                <w:top w:val="nil"/>
                <w:left w:val="nil"/>
                <w:bottom w:val="nil"/>
                <w:right w:val="nil"/>
                <w:between w:val="nil"/>
              </w:pBdr>
              <w:tabs>
                <w:tab w:val="left" w:pos="175"/>
              </w:tabs>
              <w:spacing w:before="120" w:after="120"/>
              <w:jc w:val="left"/>
              <w:rPr>
                <w:color w:val="000000"/>
              </w:rPr>
            </w:pPr>
            <w:r>
              <w:rPr>
                <w:color w:val="000000"/>
              </w:rPr>
              <w:t xml:space="preserve">the minimum size of any downgrade in a credit score, set out in Annex </w:t>
            </w:r>
            <w:r>
              <w:rPr>
                <w:smallCaps/>
              </w:rPr>
              <w:t>4</w:t>
            </w:r>
            <w:r>
              <w:rPr>
                <w:color w:val="000000"/>
              </w:rPr>
              <w:t>, which triggers a Credit Score Notification Trigger Event;</w:t>
            </w:r>
          </w:p>
        </w:tc>
      </w:tr>
      <w:tr w:rsidR="008E5DA0">
        <w:tc>
          <w:tcPr>
            <w:tcW w:w="2624" w:type="dxa"/>
          </w:tcPr>
          <w:p w:rsidR="008E5DA0" w:rsidRDefault="00ED4D36">
            <w:pPr>
              <w:pBdr>
                <w:top w:val="nil"/>
                <w:left w:val="nil"/>
                <w:bottom w:val="nil"/>
                <w:right w:val="nil"/>
                <w:between w:val="nil"/>
              </w:pBdr>
              <w:spacing w:before="120" w:after="120"/>
              <w:jc w:val="left"/>
              <w:rPr>
                <w:b/>
                <w:color w:val="000000"/>
              </w:rPr>
            </w:pPr>
            <w:r>
              <w:rPr>
                <w:b/>
                <w:color w:val="000000"/>
              </w:rPr>
              <w:t>"Credit Score Notification Trigger Event"</w:t>
            </w:r>
          </w:p>
        </w:tc>
        <w:tc>
          <w:tcPr>
            <w:tcW w:w="5456" w:type="dxa"/>
          </w:tcPr>
          <w:p w:rsidR="008E5DA0" w:rsidRDefault="00ED4D36">
            <w:pPr>
              <w:pBdr>
                <w:top w:val="nil"/>
                <w:left w:val="nil"/>
                <w:bottom w:val="nil"/>
                <w:right w:val="nil"/>
                <w:between w:val="nil"/>
              </w:pBdr>
              <w:tabs>
                <w:tab w:val="left" w:pos="175"/>
              </w:tabs>
              <w:spacing w:before="120" w:after="120"/>
              <w:jc w:val="left"/>
              <w:rPr>
                <w:color w:val="000000"/>
              </w:rPr>
            </w:pPr>
            <w:r>
              <w:rPr>
                <w:color w:val="000000"/>
              </w:rPr>
              <w:t>any downgrade of a credit score which is equal to or greater than the Credit Score</w:t>
            </w:r>
            <w:r>
              <w:rPr>
                <w:color w:val="000000"/>
              </w:rPr>
              <w:t xml:space="preserve"> Notification Trigger;</w:t>
            </w:r>
          </w:p>
        </w:tc>
      </w:tr>
      <w:tr w:rsidR="008E5DA0">
        <w:tc>
          <w:tcPr>
            <w:tcW w:w="2624" w:type="dxa"/>
          </w:tcPr>
          <w:p w:rsidR="008E5DA0" w:rsidRDefault="00ED4D36">
            <w:pPr>
              <w:pBdr>
                <w:top w:val="nil"/>
                <w:left w:val="nil"/>
                <w:bottom w:val="nil"/>
                <w:right w:val="nil"/>
                <w:between w:val="nil"/>
              </w:pBdr>
              <w:spacing w:before="120" w:after="120"/>
              <w:jc w:val="left"/>
              <w:rPr>
                <w:b/>
                <w:color w:val="000000"/>
              </w:rPr>
            </w:pPr>
            <w:r>
              <w:rPr>
                <w:b/>
                <w:color w:val="000000"/>
              </w:rPr>
              <w:t>"Credit Score Threshold"</w:t>
            </w:r>
          </w:p>
        </w:tc>
        <w:tc>
          <w:tcPr>
            <w:tcW w:w="5456" w:type="dxa"/>
          </w:tcPr>
          <w:p w:rsidR="008E5DA0" w:rsidRDefault="00ED4D36">
            <w:pPr>
              <w:pBdr>
                <w:top w:val="nil"/>
                <w:left w:val="nil"/>
                <w:bottom w:val="nil"/>
                <w:right w:val="nil"/>
                <w:between w:val="nil"/>
              </w:pBdr>
              <w:tabs>
                <w:tab w:val="left" w:pos="175"/>
              </w:tabs>
              <w:spacing w:before="120" w:after="120"/>
              <w:jc w:val="left"/>
              <w:rPr>
                <w:color w:val="000000"/>
              </w:rPr>
            </w:pPr>
            <w:r>
              <w:rPr>
                <w:color w:val="000000"/>
              </w:rPr>
              <w:t xml:space="preserve">the minimum credit score level for each entity in the FDE Group as set out in Annex </w:t>
            </w:r>
            <w:r>
              <w:rPr>
                <w:smallCaps/>
              </w:rPr>
              <w:t>4</w:t>
            </w:r>
            <w:r>
              <w:rPr>
                <w:color w:val="000000"/>
              </w:rPr>
              <w:t xml:space="preserve">; </w:t>
            </w:r>
          </w:p>
        </w:tc>
      </w:tr>
      <w:tr w:rsidR="008E5DA0">
        <w:tc>
          <w:tcPr>
            <w:tcW w:w="2624" w:type="dxa"/>
          </w:tcPr>
          <w:p w:rsidR="008E5DA0" w:rsidRDefault="00ED4D36">
            <w:pPr>
              <w:pBdr>
                <w:top w:val="nil"/>
                <w:left w:val="nil"/>
                <w:bottom w:val="nil"/>
                <w:right w:val="nil"/>
                <w:between w:val="nil"/>
              </w:pBdr>
              <w:spacing w:before="120" w:after="120"/>
              <w:jc w:val="left"/>
              <w:rPr>
                <w:b/>
                <w:color w:val="000000"/>
              </w:rPr>
            </w:pPr>
            <w:bookmarkStart w:id="2" w:name="_heading=h.gjdgxs" w:colFirst="0" w:colLast="0"/>
            <w:bookmarkEnd w:id="2"/>
            <w:r>
              <w:rPr>
                <w:b/>
                <w:color w:val="000000"/>
              </w:rPr>
              <w:t>"Financial Distress Service Continuity Plan"</w:t>
            </w:r>
          </w:p>
          <w:p w:rsidR="008E5DA0" w:rsidRDefault="008E5DA0"/>
          <w:p w:rsidR="008E5DA0" w:rsidRDefault="008E5DA0"/>
          <w:p w:rsidR="008E5DA0" w:rsidRDefault="008E5DA0">
            <w:pPr>
              <w:rPr>
                <w:b/>
                <w:color w:val="000000"/>
              </w:rPr>
            </w:pPr>
          </w:p>
          <w:p w:rsidR="008E5DA0" w:rsidRDefault="008E5DA0">
            <w:pPr>
              <w:rPr>
                <w:b/>
                <w:color w:val="000000"/>
              </w:rPr>
            </w:pPr>
          </w:p>
          <w:p w:rsidR="008E5DA0" w:rsidRDefault="008E5DA0">
            <w:pPr>
              <w:jc w:val="right"/>
            </w:pPr>
          </w:p>
        </w:tc>
        <w:tc>
          <w:tcPr>
            <w:tcW w:w="5456" w:type="dxa"/>
          </w:tcPr>
          <w:p w:rsidR="008E5DA0" w:rsidRDefault="00ED4D36">
            <w:pPr>
              <w:pBdr>
                <w:top w:val="nil"/>
                <w:left w:val="nil"/>
                <w:bottom w:val="nil"/>
                <w:right w:val="nil"/>
                <w:between w:val="nil"/>
              </w:pBdr>
              <w:tabs>
                <w:tab w:val="left" w:pos="175"/>
              </w:tabs>
              <w:spacing w:before="120" w:after="120"/>
              <w:jc w:val="left"/>
              <w:rPr>
                <w:color w:val="000000"/>
              </w:rPr>
            </w:pPr>
            <w:r>
              <w:rPr>
                <w:color w:val="000000"/>
              </w:rPr>
              <w:t>a plan setting out how the Supplier will ensure the continued performance and delivery of the Deliverables in accordance with this Contract in the event that a Financial Distress Event occurs. This plan should include what the Buyer would need to put in pl</w:t>
            </w:r>
            <w:r>
              <w:rPr>
                <w:color w:val="000000"/>
              </w:rPr>
              <w:t>ace to ensure performance and delivery of the Deliverables in accordance with this Contract up to and including any Insolvency Event in respect of the relevant FDE Group entity;</w:t>
            </w:r>
          </w:p>
        </w:tc>
      </w:tr>
      <w:tr w:rsidR="008E5DA0">
        <w:tc>
          <w:tcPr>
            <w:tcW w:w="2624" w:type="dxa"/>
          </w:tcPr>
          <w:p w:rsidR="008E5DA0" w:rsidRDefault="00ED4D36">
            <w:pPr>
              <w:pBdr>
                <w:top w:val="nil"/>
                <w:left w:val="nil"/>
                <w:bottom w:val="nil"/>
                <w:right w:val="nil"/>
                <w:between w:val="nil"/>
              </w:pBdr>
              <w:spacing w:before="120" w:after="120"/>
              <w:jc w:val="left"/>
              <w:rPr>
                <w:b/>
                <w:color w:val="000000"/>
              </w:rPr>
            </w:pPr>
            <w:r>
              <w:rPr>
                <w:b/>
                <w:color w:val="000000"/>
              </w:rPr>
              <w:t>"Financial Indicators"</w:t>
            </w:r>
          </w:p>
        </w:tc>
        <w:tc>
          <w:tcPr>
            <w:tcW w:w="5456" w:type="dxa"/>
          </w:tcPr>
          <w:p w:rsidR="008E5DA0" w:rsidRDefault="00ED4D36">
            <w:pPr>
              <w:pBdr>
                <w:top w:val="nil"/>
                <w:left w:val="nil"/>
                <w:bottom w:val="nil"/>
                <w:right w:val="nil"/>
                <w:between w:val="nil"/>
              </w:pBdr>
              <w:tabs>
                <w:tab w:val="left" w:pos="175"/>
              </w:tabs>
              <w:spacing w:before="120" w:after="120"/>
              <w:jc w:val="left"/>
              <w:rPr>
                <w:color w:val="000000"/>
              </w:rPr>
            </w:pPr>
            <w:r>
              <w:rPr>
                <w:color w:val="000000"/>
              </w:rPr>
              <w:t>in respect of the Supplier, Key Sub-contractors and th</w:t>
            </w:r>
            <w:r>
              <w:rPr>
                <w:color w:val="000000"/>
              </w:rPr>
              <w:t xml:space="preserve">e Guarantor, means each of the financial indicators set out </w:t>
            </w:r>
            <w:proofErr w:type="gramStart"/>
            <w:r>
              <w:rPr>
                <w:color w:val="000000"/>
              </w:rPr>
              <w:t>at  Annex</w:t>
            </w:r>
            <w:proofErr w:type="gramEnd"/>
            <w:r>
              <w:rPr>
                <w:color w:val="000000"/>
              </w:rPr>
              <w:t xml:space="preserve"> </w:t>
            </w:r>
            <w:r>
              <w:rPr>
                <w:smallCaps/>
              </w:rPr>
              <w:t>4</w:t>
            </w:r>
            <w:r>
              <w:rPr>
                <w:color w:val="000000"/>
              </w:rPr>
              <w:t xml:space="preserve">; </w:t>
            </w:r>
          </w:p>
        </w:tc>
      </w:tr>
      <w:tr w:rsidR="008E5DA0">
        <w:tc>
          <w:tcPr>
            <w:tcW w:w="2624" w:type="dxa"/>
          </w:tcPr>
          <w:p w:rsidR="008E5DA0" w:rsidRDefault="00ED4D36">
            <w:pPr>
              <w:pBdr>
                <w:top w:val="nil"/>
                <w:left w:val="nil"/>
                <w:bottom w:val="nil"/>
                <w:right w:val="nil"/>
                <w:between w:val="nil"/>
              </w:pBdr>
              <w:spacing w:before="120" w:after="120"/>
              <w:jc w:val="left"/>
              <w:rPr>
                <w:b/>
                <w:color w:val="000000"/>
              </w:rPr>
            </w:pPr>
            <w:r>
              <w:rPr>
                <w:b/>
                <w:color w:val="000000"/>
              </w:rPr>
              <w:t>"Financial Target Thresholds"</w:t>
            </w:r>
          </w:p>
        </w:tc>
        <w:tc>
          <w:tcPr>
            <w:tcW w:w="5456" w:type="dxa"/>
          </w:tcPr>
          <w:p w:rsidR="008E5DA0" w:rsidRDefault="00ED4D36">
            <w:pPr>
              <w:pBdr>
                <w:top w:val="nil"/>
                <w:left w:val="nil"/>
                <w:bottom w:val="nil"/>
                <w:right w:val="nil"/>
                <w:between w:val="nil"/>
              </w:pBdr>
              <w:tabs>
                <w:tab w:val="left" w:pos="175"/>
              </w:tabs>
              <w:spacing w:before="120" w:after="120"/>
              <w:jc w:val="left"/>
              <w:rPr>
                <w:color w:val="000000"/>
              </w:rPr>
            </w:pPr>
            <w:r>
              <w:rPr>
                <w:color w:val="000000"/>
              </w:rPr>
              <w:t xml:space="preserve">means the target thresholds for each of the Financial Indicators set out at Annex </w:t>
            </w:r>
            <w:r>
              <w:rPr>
                <w:smallCaps/>
              </w:rPr>
              <w:t>4</w:t>
            </w:r>
            <w:r>
              <w:rPr>
                <w:color w:val="000000"/>
              </w:rPr>
              <w:t>;</w:t>
            </w:r>
          </w:p>
        </w:tc>
      </w:tr>
      <w:tr w:rsidR="008E5DA0">
        <w:tc>
          <w:tcPr>
            <w:tcW w:w="2624" w:type="dxa"/>
          </w:tcPr>
          <w:p w:rsidR="008E5DA0" w:rsidRDefault="00ED4D36">
            <w:pPr>
              <w:pBdr>
                <w:top w:val="nil"/>
                <w:left w:val="nil"/>
                <w:bottom w:val="nil"/>
                <w:right w:val="nil"/>
                <w:between w:val="nil"/>
              </w:pBdr>
              <w:spacing w:before="120" w:after="120"/>
              <w:jc w:val="left"/>
              <w:rPr>
                <w:b/>
                <w:color w:val="000000"/>
              </w:rPr>
            </w:pPr>
            <w:r>
              <w:rPr>
                <w:b/>
                <w:color w:val="000000"/>
              </w:rPr>
              <w:t>"Primary Metric"</w:t>
            </w:r>
          </w:p>
        </w:tc>
        <w:tc>
          <w:tcPr>
            <w:tcW w:w="5456" w:type="dxa"/>
          </w:tcPr>
          <w:p w:rsidR="008E5DA0" w:rsidRDefault="00ED4D36">
            <w:pPr>
              <w:pBdr>
                <w:top w:val="nil"/>
                <w:left w:val="nil"/>
                <w:bottom w:val="nil"/>
                <w:right w:val="nil"/>
                <w:between w:val="nil"/>
              </w:pBdr>
              <w:tabs>
                <w:tab w:val="left" w:pos="175"/>
              </w:tabs>
              <w:spacing w:before="120" w:after="120"/>
              <w:jc w:val="left"/>
              <w:rPr>
                <w:b/>
                <w:i/>
                <w:color w:val="000000"/>
              </w:rPr>
            </w:pPr>
            <w:r>
              <w:rPr>
                <w:color w:val="000000"/>
              </w:rPr>
              <w:t>[credit rating pursuant to Paragraph 3.3]</w:t>
            </w:r>
            <w:proofErr w:type="gramStart"/>
            <w:r>
              <w:rPr>
                <w:color w:val="000000"/>
              </w:rPr>
              <w:t>/[</w:t>
            </w:r>
            <w:proofErr w:type="gramEnd"/>
            <w:r>
              <w:rPr>
                <w:color w:val="000000"/>
              </w:rPr>
              <w:t>credit score pursuant to Paragraph 4.3]/[financial indicators pursuant to Paragraph 5.4]</w:t>
            </w:r>
          </w:p>
        </w:tc>
      </w:tr>
      <w:tr w:rsidR="008E5DA0">
        <w:tc>
          <w:tcPr>
            <w:tcW w:w="2624" w:type="dxa"/>
          </w:tcPr>
          <w:p w:rsidR="008E5DA0" w:rsidRDefault="008E5DA0">
            <w:pPr>
              <w:pBdr>
                <w:top w:val="nil"/>
                <w:left w:val="nil"/>
                <w:bottom w:val="nil"/>
                <w:right w:val="nil"/>
                <w:between w:val="nil"/>
              </w:pBdr>
              <w:spacing w:before="120" w:after="120"/>
              <w:jc w:val="left"/>
              <w:rPr>
                <w:b/>
                <w:color w:val="000000"/>
              </w:rPr>
            </w:pPr>
          </w:p>
        </w:tc>
        <w:tc>
          <w:tcPr>
            <w:tcW w:w="5456" w:type="dxa"/>
          </w:tcPr>
          <w:p w:rsidR="008E5DA0" w:rsidRDefault="008E5DA0">
            <w:pPr>
              <w:pBdr>
                <w:top w:val="nil"/>
                <w:left w:val="nil"/>
                <w:bottom w:val="nil"/>
                <w:right w:val="nil"/>
                <w:between w:val="nil"/>
              </w:pBdr>
              <w:tabs>
                <w:tab w:val="left" w:pos="175"/>
              </w:tabs>
              <w:spacing w:before="120" w:after="120"/>
              <w:jc w:val="left"/>
              <w:rPr>
                <w:color w:val="000000"/>
              </w:rPr>
            </w:pPr>
          </w:p>
        </w:tc>
      </w:tr>
      <w:tr w:rsidR="008E5DA0">
        <w:tc>
          <w:tcPr>
            <w:tcW w:w="2624" w:type="dxa"/>
          </w:tcPr>
          <w:p w:rsidR="008E5DA0" w:rsidRDefault="00ED4D36">
            <w:pPr>
              <w:pBdr>
                <w:top w:val="nil"/>
                <w:left w:val="nil"/>
                <w:bottom w:val="nil"/>
                <w:right w:val="nil"/>
                <w:between w:val="nil"/>
              </w:pBdr>
              <w:spacing w:before="120" w:after="120"/>
              <w:jc w:val="left"/>
              <w:rPr>
                <w:b/>
                <w:color w:val="000000"/>
              </w:rPr>
            </w:pPr>
            <w:r>
              <w:rPr>
                <w:b/>
                <w:color w:val="000000"/>
              </w:rPr>
              <w:lastRenderedPageBreak/>
              <w:t>"Rating Agencies"</w:t>
            </w:r>
          </w:p>
        </w:tc>
        <w:tc>
          <w:tcPr>
            <w:tcW w:w="5456" w:type="dxa"/>
          </w:tcPr>
          <w:p w:rsidR="008E5DA0" w:rsidRDefault="00ED4D36">
            <w:pPr>
              <w:pBdr>
                <w:top w:val="nil"/>
                <w:left w:val="nil"/>
                <w:bottom w:val="nil"/>
                <w:right w:val="nil"/>
                <w:between w:val="nil"/>
              </w:pBdr>
              <w:tabs>
                <w:tab w:val="left" w:pos="175"/>
              </w:tabs>
              <w:spacing w:before="120" w:after="120"/>
              <w:jc w:val="left"/>
              <w:rPr>
                <w:color w:val="000000"/>
              </w:rPr>
            </w:pPr>
            <w:r>
              <w:rPr>
                <w:color w:val="000000"/>
              </w:rPr>
              <w:t>the rating agencies listed in Part A of Annex </w:t>
            </w:r>
            <w:r>
              <w:rPr>
                <w:smallCaps/>
                <w:color w:val="000000"/>
              </w:rPr>
              <w:t>1</w:t>
            </w:r>
            <w:r>
              <w:rPr>
                <w:color w:val="000000"/>
              </w:rPr>
              <w:t>.</w:t>
            </w:r>
          </w:p>
        </w:tc>
      </w:tr>
    </w:tbl>
    <w:p w:rsidR="008E5DA0" w:rsidRDefault="00ED4D36">
      <w:pPr>
        <w:keepNext/>
        <w:numPr>
          <w:ilvl w:val="0"/>
          <w:numId w:val="1"/>
        </w:numPr>
        <w:pBdr>
          <w:top w:val="nil"/>
          <w:left w:val="nil"/>
          <w:bottom w:val="nil"/>
          <w:right w:val="nil"/>
          <w:between w:val="nil"/>
        </w:pBdr>
        <w:spacing w:before="120"/>
        <w:jc w:val="left"/>
        <w:rPr>
          <w:b/>
          <w:color w:val="000000"/>
        </w:rPr>
      </w:pPr>
      <w:bookmarkStart w:id="3" w:name="_heading=h.30j0zll" w:colFirst="0" w:colLast="0"/>
      <w:bookmarkEnd w:id="3"/>
      <w:r>
        <w:rPr>
          <w:b/>
          <w:color w:val="000000"/>
        </w:rPr>
        <w:t>When this Schedule applies</w:t>
      </w:r>
    </w:p>
    <w:p w:rsidR="008E5DA0" w:rsidRDefault="00ED4D36">
      <w:pPr>
        <w:numPr>
          <w:ilvl w:val="1"/>
          <w:numId w:val="1"/>
        </w:numPr>
        <w:pBdr>
          <w:top w:val="nil"/>
          <w:left w:val="nil"/>
          <w:bottom w:val="nil"/>
          <w:right w:val="nil"/>
          <w:between w:val="nil"/>
        </w:pBdr>
        <w:spacing w:before="120" w:after="120"/>
        <w:jc w:val="left"/>
        <w:rPr>
          <w:color w:val="000000"/>
        </w:rPr>
      </w:pPr>
      <w:r>
        <w:rPr>
          <w:color w:val="000000"/>
        </w:rPr>
        <w:t>The Parties shall comply with the provisions of this Schedule in relation to the assessment of the financial standing of the FDE Group and the consequences of a change to that financial standing.</w:t>
      </w:r>
    </w:p>
    <w:p w:rsidR="008E5DA0" w:rsidRDefault="00ED4D36">
      <w:pPr>
        <w:numPr>
          <w:ilvl w:val="1"/>
          <w:numId w:val="1"/>
        </w:numPr>
        <w:pBdr>
          <w:top w:val="nil"/>
          <w:left w:val="nil"/>
          <w:bottom w:val="nil"/>
          <w:right w:val="nil"/>
          <w:between w:val="nil"/>
        </w:pBdr>
        <w:spacing w:before="120" w:after="120"/>
        <w:jc w:val="left"/>
        <w:rPr>
          <w:color w:val="000000"/>
        </w:rPr>
      </w:pPr>
      <w:r>
        <w:rPr>
          <w:color w:val="000000"/>
        </w:rPr>
        <w:t>The terms of this Schedule shall survive under this Contract</w:t>
      </w:r>
      <w:r>
        <w:rPr>
          <w:color w:val="000000"/>
        </w:rPr>
        <w:t xml:space="preserve"> until the termination or expiry of this Contract.</w:t>
      </w:r>
    </w:p>
    <w:p w:rsidR="008E5DA0" w:rsidRDefault="00ED4D36">
      <w:pPr>
        <w:keepNext/>
        <w:numPr>
          <w:ilvl w:val="0"/>
          <w:numId w:val="1"/>
        </w:numPr>
        <w:pBdr>
          <w:top w:val="nil"/>
          <w:left w:val="nil"/>
          <w:bottom w:val="nil"/>
          <w:right w:val="nil"/>
          <w:between w:val="nil"/>
        </w:pBdr>
        <w:spacing w:before="120"/>
        <w:jc w:val="left"/>
        <w:rPr>
          <w:b/>
          <w:smallCaps/>
          <w:color w:val="000000"/>
        </w:rPr>
      </w:pPr>
      <w:r>
        <w:rPr>
          <w:b/>
          <w:color w:val="000000"/>
        </w:rPr>
        <w:t>Credit Ratings</w:t>
      </w:r>
    </w:p>
    <w:p w:rsidR="008E5DA0" w:rsidRDefault="00ED4D36">
      <w:pPr>
        <w:numPr>
          <w:ilvl w:val="1"/>
          <w:numId w:val="1"/>
        </w:numPr>
        <w:pBdr>
          <w:top w:val="nil"/>
          <w:left w:val="nil"/>
          <w:bottom w:val="nil"/>
          <w:right w:val="nil"/>
          <w:between w:val="nil"/>
        </w:pBdr>
        <w:spacing w:before="120" w:after="120"/>
        <w:jc w:val="left"/>
        <w:rPr>
          <w:color w:val="000000"/>
        </w:rPr>
      </w:pPr>
      <w:bookmarkStart w:id="4" w:name="_heading=h.1fob9te" w:colFirst="0" w:colLast="0"/>
      <w:bookmarkEnd w:id="4"/>
      <w:r>
        <w:rPr>
          <w:color w:val="000000"/>
        </w:rPr>
        <w:t>The Supplier warrants and represents to the Buyer that as at the Effective</w:t>
      </w:r>
      <w:r>
        <w:t xml:space="preserve">     </w:t>
      </w:r>
      <w:r>
        <w:rPr>
          <w:color w:val="000000"/>
        </w:rPr>
        <w:t xml:space="preserve"> Date the </w:t>
      </w:r>
      <w:proofErr w:type="gramStart"/>
      <w:r>
        <w:rPr>
          <w:color w:val="000000"/>
        </w:rPr>
        <w:t>long term</w:t>
      </w:r>
      <w:proofErr w:type="gramEnd"/>
      <w:r>
        <w:rPr>
          <w:color w:val="000000"/>
        </w:rPr>
        <w:t xml:space="preserve"> credit ratings issued for each entity in the FDE Group by each of the Rating Agencies are a</w:t>
      </w:r>
      <w:r>
        <w:rPr>
          <w:color w:val="000000"/>
        </w:rPr>
        <w:t>s set out in Part A of Annex </w:t>
      </w:r>
      <w:r>
        <w:rPr>
          <w:smallCaps/>
          <w:color w:val="000000"/>
        </w:rPr>
        <w:t>2</w:t>
      </w:r>
      <w:r>
        <w:rPr>
          <w:color w:val="000000"/>
        </w:rPr>
        <w:t xml:space="preserve">. </w:t>
      </w:r>
    </w:p>
    <w:p w:rsidR="008E5DA0" w:rsidRDefault="00ED4D36">
      <w:pPr>
        <w:numPr>
          <w:ilvl w:val="1"/>
          <w:numId w:val="1"/>
        </w:numPr>
        <w:pBdr>
          <w:top w:val="nil"/>
          <w:left w:val="nil"/>
          <w:bottom w:val="nil"/>
          <w:right w:val="nil"/>
          <w:between w:val="nil"/>
        </w:pBdr>
        <w:spacing w:before="120" w:after="120"/>
        <w:jc w:val="left"/>
        <w:rPr>
          <w:color w:val="000000"/>
        </w:rPr>
      </w:pPr>
      <w:r>
        <w:rPr>
          <w:color w:val="000000"/>
        </w:rPr>
        <w:t>The Supplier shall:</w:t>
      </w:r>
    </w:p>
    <w:p w:rsidR="008E5DA0" w:rsidRDefault="00ED4D36">
      <w:pPr>
        <w:numPr>
          <w:ilvl w:val="2"/>
          <w:numId w:val="1"/>
        </w:numPr>
        <w:pBdr>
          <w:top w:val="nil"/>
          <w:left w:val="nil"/>
          <w:bottom w:val="nil"/>
          <w:right w:val="nil"/>
          <w:between w:val="nil"/>
        </w:pBdr>
        <w:ind w:left="1843"/>
        <w:jc w:val="left"/>
        <w:rPr>
          <w:color w:val="000000"/>
        </w:rPr>
      </w:pPr>
      <w:r>
        <w:rPr>
          <w:color w:val="000000"/>
        </w:rPr>
        <w:t>regularly monitor the credit ratings of each entity in the FDE Group with the Rating Agencies; and</w:t>
      </w:r>
    </w:p>
    <w:p w:rsidR="008E5DA0" w:rsidRDefault="00ED4D36">
      <w:pPr>
        <w:numPr>
          <w:ilvl w:val="2"/>
          <w:numId w:val="1"/>
        </w:numPr>
        <w:pBdr>
          <w:top w:val="nil"/>
          <w:left w:val="nil"/>
          <w:bottom w:val="nil"/>
          <w:right w:val="nil"/>
          <w:between w:val="nil"/>
        </w:pBdr>
        <w:ind w:left="1843"/>
        <w:jc w:val="left"/>
        <w:rPr>
          <w:color w:val="000000"/>
        </w:rPr>
      </w:pPr>
      <w:r>
        <w:rPr>
          <w:color w:val="000000"/>
        </w:rPr>
        <w:t>promptly (and in any event within five (5) Working Days) notify the Buyer in writing if there is any downgrade in the credit rating issued by any Rating Agency for any entity in the FDE Group.</w:t>
      </w:r>
    </w:p>
    <w:p w:rsidR="008E5DA0" w:rsidRDefault="00ED4D36">
      <w:pPr>
        <w:numPr>
          <w:ilvl w:val="1"/>
          <w:numId w:val="1"/>
        </w:numPr>
        <w:pBdr>
          <w:top w:val="nil"/>
          <w:left w:val="nil"/>
          <w:bottom w:val="nil"/>
          <w:right w:val="nil"/>
          <w:between w:val="nil"/>
        </w:pBdr>
        <w:spacing w:before="120" w:after="120"/>
        <w:jc w:val="left"/>
        <w:rPr>
          <w:color w:val="000000"/>
        </w:rPr>
      </w:pPr>
      <w:bookmarkStart w:id="5" w:name="_heading=h.3znysh7" w:colFirst="0" w:colLast="0"/>
      <w:bookmarkEnd w:id="5"/>
      <w:r>
        <w:rPr>
          <w:color w:val="000000"/>
        </w:rPr>
        <w:t>For the purposes of determining whether a Financial Distress Ev</w:t>
      </w:r>
      <w:r>
        <w:rPr>
          <w:color w:val="000000"/>
        </w:rPr>
        <w:t>ent has occurred, and for the purposes of determining relief under Paragraph 8 if credit rating is the Primary Metric, the credit rating of an FDE Group entity shall be deemed to have dropped below the applicable Credit Rating Threshold if any of the Ratin</w:t>
      </w:r>
      <w:r>
        <w:rPr>
          <w:color w:val="000000"/>
        </w:rPr>
        <w:t xml:space="preserve">g Agencies have given a credit rating level for that FDE Group entity which </w:t>
      </w:r>
      <w:proofErr w:type="gramStart"/>
      <w:r>
        <w:rPr>
          <w:color w:val="000000"/>
        </w:rPr>
        <w:t>is  below</w:t>
      </w:r>
      <w:proofErr w:type="gramEnd"/>
      <w:r>
        <w:rPr>
          <w:color w:val="000000"/>
        </w:rPr>
        <w:t xml:space="preserve"> the applicable Credit Rating Threshold.</w:t>
      </w:r>
    </w:p>
    <w:p w:rsidR="008E5DA0" w:rsidRDefault="00ED4D36">
      <w:pPr>
        <w:keepNext/>
        <w:numPr>
          <w:ilvl w:val="0"/>
          <w:numId w:val="1"/>
        </w:numPr>
        <w:pBdr>
          <w:top w:val="nil"/>
          <w:left w:val="nil"/>
          <w:bottom w:val="nil"/>
          <w:right w:val="nil"/>
          <w:between w:val="nil"/>
        </w:pBdr>
        <w:spacing w:before="120"/>
        <w:jc w:val="left"/>
        <w:rPr>
          <w:b/>
          <w:color w:val="000000"/>
        </w:rPr>
      </w:pPr>
      <w:r>
        <w:rPr>
          <w:b/>
          <w:color w:val="000000"/>
        </w:rPr>
        <w:t>Credit Scores</w:t>
      </w:r>
    </w:p>
    <w:p w:rsidR="008E5DA0" w:rsidRDefault="00ED4D36">
      <w:pPr>
        <w:numPr>
          <w:ilvl w:val="1"/>
          <w:numId w:val="1"/>
        </w:numPr>
        <w:pBdr>
          <w:top w:val="nil"/>
          <w:left w:val="nil"/>
          <w:bottom w:val="nil"/>
          <w:right w:val="nil"/>
          <w:between w:val="nil"/>
        </w:pBdr>
        <w:spacing w:before="120" w:after="120"/>
        <w:jc w:val="left"/>
        <w:rPr>
          <w:color w:val="000000"/>
        </w:rPr>
      </w:pPr>
      <w:r>
        <w:rPr>
          <w:color w:val="000000"/>
        </w:rPr>
        <w:t xml:space="preserve">The Supplier warrants and represents to the Buyer that as at the </w:t>
      </w:r>
      <w:r>
        <w:t xml:space="preserve">     </w:t>
      </w:r>
      <w:r>
        <w:rPr>
          <w:color w:val="000000"/>
        </w:rPr>
        <w:t>Effective Date the credit scores issued for ea</w:t>
      </w:r>
      <w:r>
        <w:rPr>
          <w:color w:val="000000"/>
        </w:rPr>
        <w:t>ch entity in the FDE Group by each of the Credit Reference Agencies are as set out in Part B of Annex </w:t>
      </w:r>
      <w:r>
        <w:rPr>
          <w:smallCaps/>
          <w:color w:val="000000"/>
        </w:rPr>
        <w:t>2</w:t>
      </w:r>
      <w:r>
        <w:rPr>
          <w:color w:val="000000"/>
        </w:rPr>
        <w:t xml:space="preserve">. </w:t>
      </w:r>
    </w:p>
    <w:p w:rsidR="008E5DA0" w:rsidRDefault="00ED4D36">
      <w:pPr>
        <w:numPr>
          <w:ilvl w:val="1"/>
          <w:numId w:val="1"/>
        </w:numPr>
        <w:pBdr>
          <w:top w:val="nil"/>
          <w:left w:val="nil"/>
          <w:bottom w:val="nil"/>
          <w:right w:val="nil"/>
          <w:between w:val="nil"/>
        </w:pBdr>
        <w:spacing w:before="120" w:after="120"/>
        <w:jc w:val="left"/>
        <w:rPr>
          <w:color w:val="000000"/>
        </w:rPr>
      </w:pPr>
      <w:r>
        <w:rPr>
          <w:color w:val="000000"/>
        </w:rPr>
        <w:t>The Supplier shall:</w:t>
      </w:r>
    </w:p>
    <w:p w:rsidR="008E5DA0" w:rsidRDefault="00ED4D36">
      <w:pPr>
        <w:numPr>
          <w:ilvl w:val="2"/>
          <w:numId w:val="1"/>
        </w:numPr>
        <w:pBdr>
          <w:top w:val="nil"/>
          <w:left w:val="nil"/>
          <w:bottom w:val="nil"/>
          <w:right w:val="nil"/>
          <w:between w:val="nil"/>
        </w:pBdr>
        <w:ind w:left="1843"/>
        <w:jc w:val="left"/>
        <w:rPr>
          <w:color w:val="000000"/>
        </w:rPr>
      </w:pPr>
      <w:r>
        <w:rPr>
          <w:color w:val="000000"/>
        </w:rPr>
        <w:t>regularly monitor the credit scores of each entity in the FDE Group with the Credit Reference Agencies; and</w:t>
      </w:r>
    </w:p>
    <w:p w:rsidR="008E5DA0" w:rsidRDefault="00ED4D36">
      <w:pPr>
        <w:numPr>
          <w:ilvl w:val="2"/>
          <w:numId w:val="1"/>
        </w:numPr>
        <w:pBdr>
          <w:top w:val="nil"/>
          <w:left w:val="nil"/>
          <w:bottom w:val="nil"/>
          <w:right w:val="nil"/>
          <w:between w:val="nil"/>
        </w:pBdr>
        <w:ind w:left="1843"/>
        <w:jc w:val="left"/>
        <w:rPr>
          <w:color w:val="000000"/>
        </w:rPr>
      </w:pPr>
      <w:r>
        <w:rPr>
          <w:color w:val="000000"/>
        </w:rPr>
        <w:t>promptly notify (or sh</w:t>
      </w:r>
      <w:r>
        <w:rPr>
          <w:color w:val="000000"/>
        </w:rPr>
        <w:t>all procure that its auditors promptly notify) the Buyer in writing if there is any Credit Score Notification Trigger Event for any entity in the FDE Group (and in any event within five (5) Working Days).</w:t>
      </w:r>
    </w:p>
    <w:p w:rsidR="008E5DA0" w:rsidRDefault="00ED4D36">
      <w:pPr>
        <w:numPr>
          <w:ilvl w:val="1"/>
          <w:numId w:val="1"/>
        </w:numPr>
        <w:pBdr>
          <w:top w:val="nil"/>
          <w:left w:val="nil"/>
          <w:bottom w:val="nil"/>
          <w:right w:val="nil"/>
          <w:between w:val="nil"/>
        </w:pBdr>
        <w:spacing w:before="120" w:after="120"/>
        <w:jc w:val="left"/>
        <w:rPr>
          <w:color w:val="000000"/>
        </w:rPr>
      </w:pPr>
      <w:bookmarkStart w:id="6" w:name="_heading=h.1ci93xb" w:colFirst="0" w:colLast="0"/>
      <w:bookmarkEnd w:id="6"/>
      <w:r>
        <w:rPr>
          <w:color w:val="000000"/>
        </w:rPr>
        <w:t>For the purposes of determining whether a Financial</w:t>
      </w:r>
      <w:r>
        <w:rPr>
          <w:color w:val="000000"/>
        </w:rPr>
        <w:t xml:space="preserve"> Distress Event has occurred, and for the purposes of determining relief under Paragraph 8 if credit score is the Primary Metric, the credit score of an FDE Group entity shall be deemed to have dropped below the applicable Credit Score Threshold if any of </w:t>
      </w:r>
      <w:r>
        <w:rPr>
          <w:color w:val="000000"/>
        </w:rPr>
        <w:t xml:space="preserve">the Credit Reference Agencies have given a credit score </w:t>
      </w:r>
      <w:r>
        <w:rPr>
          <w:color w:val="000000"/>
        </w:rPr>
        <w:lastRenderedPageBreak/>
        <w:t>for that FDE Group entity which is below the applicable Credit Score Threshold.</w:t>
      </w:r>
    </w:p>
    <w:p w:rsidR="008E5DA0" w:rsidRDefault="00ED4D36">
      <w:pPr>
        <w:keepNext/>
        <w:numPr>
          <w:ilvl w:val="0"/>
          <w:numId w:val="1"/>
        </w:numPr>
        <w:pBdr>
          <w:top w:val="nil"/>
          <w:left w:val="nil"/>
          <w:bottom w:val="nil"/>
          <w:right w:val="nil"/>
          <w:between w:val="nil"/>
        </w:pBdr>
        <w:spacing w:before="120"/>
        <w:jc w:val="left"/>
        <w:rPr>
          <w:b/>
          <w:color w:val="000000"/>
        </w:rPr>
      </w:pPr>
      <w:r>
        <w:rPr>
          <w:b/>
          <w:color w:val="000000"/>
        </w:rPr>
        <w:t>Financial Indicators</w:t>
      </w:r>
    </w:p>
    <w:p w:rsidR="008E5DA0" w:rsidRDefault="00ED4D36">
      <w:pPr>
        <w:numPr>
          <w:ilvl w:val="1"/>
          <w:numId w:val="1"/>
        </w:numPr>
        <w:pBdr>
          <w:top w:val="nil"/>
          <w:left w:val="nil"/>
          <w:bottom w:val="nil"/>
          <w:right w:val="nil"/>
          <w:between w:val="nil"/>
        </w:pBdr>
        <w:spacing w:before="120" w:after="120"/>
        <w:jc w:val="left"/>
        <w:rPr>
          <w:b/>
          <w:color w:val="000000"/>
        </w:rPr>
      </w:pPr>
      <w:bookmarkStart w:id="7" w:name="_heading=h.3whwml4" w:colFirst="0" w:colLast="0"/>
      <w:bookmarkEnd w:id="7"/>
      <w:r>
        <w:rPr>
          <w:color w:val="000000"/>
        </w:rPr>
        <w:t xml:space="preserve">The Supplier shall monitor and report on the Financial Indicators for each entity in the FDE Group against the Financial Target Thresholds at least at the frequency set out for each at Part </w:t>
      </w:r>
      <w:r>
        <w:t>C</w:t>
      </w:r>
      <w:r>
        <w:rPr>
          <w:color w:val="000000"/>
        </w:rPr>
        <w:t xml:space="preserve"> of Annex </w:t>
      </w:r>
      <w:r>
        <w:rPr>
          <w:smallCaps/>
          <w:color w:val="000000"/>
        </w:rPr>
        <w:t>2</w:t>
      </w:r>
      <w:r>
        <w:rPr>
          <w:b/>
          <w:i/>
          <w:color w:val="000000"/>
        </w:rPr>
        <w:t xml:space="preserve"> </w:t>
      </w:r>
      <w:r>
        <w:rPr>
          <w:color w:val="000000"/>
        </w:rPr>
        <w:t>(where specified) and in any event, on a regular basi</w:t>
      </w:r>
      <w:r>
        <w:rPr>
          <w:color w:val="000000"/>
        </w:rPr>
        <w:t>s and no less than once a year within one hundred and twenty (</w:t>
      </w:r>
      <w:r>
        <w:t>90</w:t>
      </w:r>
      <w:r>
        <w:rPr>
          <w:color w:val="000000"/>
        </w:rPr>
        <w:t>) days after the accounting reference date</w:t>
      </w:r>
    </w:p>
    <w:p w:rsidR="008E5DA0" w:rsidRDefault="00ED4D36">
      <w:pPr>
        <w:numPr>
          <w:ilvl w:val="1"/>
          <w:numId w:val="1"/>
        </w:numPr>
        <w:pBdr>
          <w:top w:val="nil"/>
          <w:left w:val="nil"/>
          <w:bottom w:val="nil"/>
          <w:right w:val="nil"/>
          <w:between w:val="nil"/>
        </w:pBdr>
        <w:spacing w:before="120" w:after="120"/>
        <w:jc w:val="left"/>
        <w:rPr>
          <w:b/>
          <w:color w:val="000000"/>
        </w:rPr>
      </w:pPr>
      <w:r>
        <w:rPr>
          <w:color w:val="000000"/>
        </w:rPr>
        <w:t>Subject to the calculation methodology set out at Annex 4 of this Schedule, the Financial Indicators and the corresponding calculations and threshold</w:t>
      </w:r>
      <w:r>
        <w:rPr>
          <w:color w:val="000000"/>
        </w:rPr>
        <w:t xml:space="preserve">s used to determine whether a Financial Distress Event has occurred in respect of those Financial Indicators, shall be as set out in Appendix I: Standard Financial Ratios of </w:t>
      </w:r>
      <w:r>
        <w:rPr>
          <w:i/>
          <w:color w:val="000000"/>
        </w:rPr>
        <w:t>Assessing and Monitoring the Economic and Financial Standing of Bidders and Suppli</w:t>
      </w:r>
      <w:r>
        <w:rPr>
          <w:i/>
          <w:color w:val="000000"/>
        </w:rPr>
        <w:t xml:space="preserve">ers – May 2021 </w:t>
      </w:r>
      <w:r>
        <w:rPr>
          <w:color w:val="000000"/>
        </w:rPr>
        <w:t>(as amended, supplemented or replaced from time to time) which as at the Effective</w:t>
      </w:r>
      <w:r>
        <w:t xml:space="preserve">     </w:t>
      </w:r>
      <w:r>
        <w:rPr>
          <w:color w:val="000000"/>
        </w:rPr>
        <w:t xml:space="preserve"> Date can be found at:</w:t>
      </w:r>
    </w:p>
    <w:p w:rsidR="008E5DA0" w:rsidRDefault="00ED4D36">
      <w:pPr>
        <w:pBdr>
          <w:top w:val="nil"/>
          <w:left w:val="nil"/>
          <w:bottom w:val="nil"/>
          <w:right w:val="nil"/>
          <w:between w:val="nil"/>
        </w:pBdr>
        <w:spacing w:before="120" w:after="120"/>
        <w:ind w:left="907" w:firstLine="20"/>
        <w:jc w:val="left"/>
        <w:rPr>
          <w:color w:val="000000"/>
        </w:rPr>
      </w:pPr>
      <w:hyperlink r:id="rId8">
        <w:r>
          <w:rPr>
            <w:color w:val="0000FF"/>
            <w:u w:val="single"/>
          </w:rPr>
          <w:t>https://assets.publishing.service.gov.uk/government/uploads/system/uploads/attachment_data/file/987132/Assessing_and_monitoring_the_economic_and_financial_standing_of_suppliers_guidance_note_May_2021.pdf</w:t>
        </w:r>
      </w:hyperlink>
      <w:r>
        <w:rPr>
          <w:color w:val="000000"/>
        </w:rPr>
        <w:t xml:space="preserve"> </w:t>
      </w:r>
    </w:p>
    <w:p w:rsidR="008E5DA0" w:rsidRDefault="00ED4D36">
      <w:pPr>
        <w:numPr>
          <w:ilvl w:val="1"/>
          <w:numId w:val="1"/>
        </w:numPr>
        <w:pBdr>
          <w:top w:val="nil"/>
          <w:left w:val="nil"/>
          <w:bottom w:val="nil"/>
          <w:right w:val="nil"/>
          <w:between w:val="nil"/>
        </w:pBdr>
        <w:spacing w:before="120" w:after="120"/>
        <w:jc w:val="left"/>
        <w:rPr>
          <w:color w:val="000000"/>
        </w:rPr>
      </w:pPr>
      <w:bookmarkStart w:id="8" w:name="_heading=h.2bn6wsx" w:colFirst="0" w:colLast="0"/>
      <w:bookmarkEnd w:id="8"/>
      <w:r>
        <w:rPr>
          <w:color w:val="000000"/>
        </w:rPr>
        <w:t>Each report submitted by the Supplier pursuant to P</w:t>
      </w:r>
      <w:r>
        <w:rPr>
          <w:color w:val="000000"/>
        </w:rPr>
        <w:t>aragraph 5.1 shall:</w:t>
      </w:r>
    </w:p>
    <w:p w:rsidR="008E5DA0" w:rsidRDefault="00ED4D36">
      <w:pPr>
        <w:numPr>
          <w:ilvl w:val="2"/>
          <w:numId w:val="1"/>
        </w:numPr>
        <w:pBdr>
          <w:top w:val="nil"/>
          <w:left w:val="nil"/>
          <w:bottom w:val="nil"/>
          <w:right w:val="nil"/>
          <w:between w:val="nil"/>
        </w:pBdr>
        <w:ind w:left="1843"/>
        <w:jc w:val="left"/>
        <w:rPr>
          <w:color w:val="000000"/>
        </w:rPr>
      </w:pPr>
      <w:r>
        <w:rPr>
          <w:color w:val="000000"/>
        </w:rPr>
        <w:t>be a single report with separate sections for each of the FDE Group entities;</w:t>
      </w:r>
    </w:p>
    <w:p w:rsidR="008E5DA0" w:rsidRDefault="00ED4D36">
      <w:pPr>
        <w:numPr>
          <w:ilvl w:val="2"/>
          <w:numId w:val="1"/>
        </w:numPr>
        <w:pBdr>
          <w:top w:val="nil"/>
          <w:left w:val="nil"/>
          <w:bottom w:val="nil"/>
          <w:right w:val="nil"/>
          <w:between w:val="nil"/>
        </w:pBdr>
        <w:ind w:left="1843"/>
        <w:jc w:val="left"/>
        <w:rPr>
          <w:color w:val="000000"/>
        </w:rPr>
      </w:pPr>
      <w:r>
        <w:rPr>
          <w:color w:val="000000"/>
        </w:rPr>
        <w:t>contain a sufficient level of information to enable the Buyer to verify the calculations that have been made in respect of the Financial Indicators;</w:t>
      </w:r>
    </w:p>
    <w:p w:rsidR="008E5DA0" w:rsidRDefault="00ED4D36">
      <w:pPr>
        <w:numPr>
          <w:ilvl w:val="2"/>
          <w:numId w:val="1"/>
        </w:numPr>
        <w:pBdr>
          <w:top w:val="nil"/>
          <w:left w:val="nil"/>
          <w:bottom w:val="nil"/>
          <w:right w:val="nil"/>
          <w:between w:val="nil"/>
        </w:pBdr>
        <w:ind w:left="1843"/>
        <w:jc w:val="left"/>
        <w:rPr>
          <w:color w:val="000000"/>
        </w:rPr>
      </w:pPr>
      <w:r>
        <w:rPr>
          <w:color w:val="000000"/>
        </w:rPr>
        <w:t>include k</w:t>
      </w:r>
      <w:r>
        <w:rPr>
          <w:color w:val="000000"/>
        </w:rPr>
        <w:t>ey financial and other supporting information (including any accounts data that has been relied on) as separate annexes; and</w:t>
      </w:r>
    </w:p>
    <w:p w:rsidR="008E5DA0" w:rsidRDefault="00ED4D36">
      <w:pPr>
        <w:numPr>
          <w:ilvl w:val="2"/>
          <w:numId w:val="1"/>
        </w:numPr>
        <w:pBdr>
          <w:top w:val="nil"/>
          <w:left w:val="nil"/>
          <w:bottom w:val="nil"/>
          <w:right w:val="nil"/>
          <w:between w:val="nil"/>
        </w:pBdr>
        <w:ind w:left="1843"/>
        <w:jc w:val="left"/>
        <w:rPr>
          <w:color w:val="000000"/>
        </w:rPr>
      </w:pPr>
      <w:r>
        <w:rPr>
          <w:color w:val="000000"/>
        </w:rPr>
        <w:t>be based on the audited accounts for the date or period on which the Financial Indicator is based or, where the Financial Indicator</w:t>
      </w:r>
      <w:r>
        <w:rPr>
          <w:color w:val="000000"/>
        </w:rPr>
        <w:t xml:space="preserve"> is not linked to an accounting period or an accounting reference date, on unaudited management accounts prepared in accordance with their normal timetable; and</w:t>
      </w:r>
    </w:p>
    <w:p w:rsidR="008E5DA0" w:rsidRDefault="00ED4D36">
      <w:pPr>
        <w:numPr>
          <w:ilvl w:val="2"/>
          <w:numId w:val="1"/>
        </w:numPr>
        <w:pBdr>
          <w:top w:val="nil"/>
          <w:left w:val="nil"/>
          <w:bottom w:val="nil"/>
          <w:right w:val="nil"/>
          <w:between w:val="nil"/>
        </w:pBdr>
        <w:ind w:left="1843"/>
        <w:jc w:val="left"/>
        <w:rPr>
          <w:color w:val="000000"/>
        </w:rPr>
      </w:pPr>
      <w:r>
        <w:rPr>
          <w:color w:val="000000"/>
        </w:rPr>
        <w:t xml:space="preserve">include a history of the Financial Indicators reported by the Supplier in graph form to enable </w:t>
      </w:r>
      <w:r>
        <w:rPr>
          <w:color w:val="000000"/>
        </w:rPr>
        <w:t>the Buyer to easily analyse and assess the trends in financial performance.</w:t>
      </w:r>
    </w:p>
    <w:p w:rsidR="008E5DA0" w:rsidRDefault="00ED4D36">
      <w:pPr>
        <w:numPr>
          <w:ilvl w:val="1"/>
          <w:numId w:val="1"/>
        </w:numPr>
        <w:pBdr>
          <w:top w:val="nil"/>
          <w:left w:val="nil"/>
          <w:bottom w:val="nil"/>
          <w:right w:val="nil"/>
          <w:between w:val="nil"/>
        </w:pBdr>
        <w:spacing w:before="120" w:after="120"/>
        <w:jc w:val="left"/>
        <w:rPr>
          <w:color w:val="000000"/>
        </w:rPr>
      </w:pPr>
      <w:bookmarkStart w:id="9" w:name="_heading=h.qsh70q" w:colFirst="0" w:colLast="0"/>
      <w:bookmarkEnd w:id="9"/>
      <w:r>
        <w:rPr>
          <w:color w:val="000000"/>
        </w:rPr>
        <w:t xml:space="preserve">For the purposes of determining whether a Financial Distress Event has occurred, and for the purposes of determining relief under Paragraph 8 if financial indicators are the Primary Metric, the Financial Indicator of an FDE Group entity shall be deemed to </w:t>
      </w:r>
      <w:r>
        <w:rPr>
          <w:color w:val="000000"/>
        </w:rPr>
        <w:t>have dropped below the applicable Financial Target Threshold if:</w:t>
      </w:r>
    </w:p>
    <w:p w:rsidR="008E5DA0" w:rsidRDefault="00ED4D36">
      <w:pPr>
        <w:numPr>
          <w:ilvl w:val="2"/>
          <w:numId w:val="1"/>
        </w:numPr>
        <w:pBdr>
          <w:top w:val="nil"/>
          <w:left w:val="nil"/>
          <w:bottom w:val="nil"/>
          <w:right w:val="nil"/>
          <w:between w:val="nil"/>
        </w:pBdr>
        <w:ind w:left="1843"/>
        <w:jc w:val="left"/>
        <w:rPr>
          <w:color w:val="000000"/>
        </w:rPr>
      </w:pPr>
      <w:r>
        <w:rPr>
          <w:color w:val="000000"/>
        </w:rPr>
        <w:lastRenderedPageBreak/>
        <w:t>a report submitted by the Supplier pursuant to Paragraph 5.1 shows that any FDE Group entity has failed to meet or exceed the Financial Target Threshold for any one of the Financial Indicator</w:t>
      </w:r>
      <w:r>
        <w:rPr>
          <w:color w:val="000000"/>
        </w:rPr>
        <w:t xml:space="preserve">s set out in Part </w:t>
      </w:r>
      <w:r>
        <w:t>C</w:t>
      </w:r>
      <w:r>
        <w:rPr>
          <w:color w:val="000000"/>
        </w:rPr>
        <w:t xml:space="preserve"> of Annex </w:t>
      </w:r>
      <w:r>
        <w:rPr>
          <w:smallCaps/>
          <w:color w:val="000000"/>
        </w:rPr>
        <w:t>2</w:t>
      </w:r>
      <w:r>
        <w:rPr>
          <w:b/>
          <w:i/>
          <w:color w:val="000000"/>
        </w:rPr>
        <w:t xml:space="preserve"> </w:t>
      </w:r>
      <w:r>
        <w:rPr>
          <w:color w:val="000000"/>
        </w:rPr>
        <w:t>of this Schedule;</w:t>
      </w:r>
    </w:p>
    <w:p w:rsidR="008E5DA0" w:rsidRDefault="00ED4D36">
      <w:pPr>
        <w:numPr>
          <w:ilvl w:val="2"/>
          <w:numId w:val="1"/>
        </w:numPr>
        <w:pBdr>
          <w:top w:val="nil"/>
          <w:left w:val="nil"/>
          <w:bottom w:val="nil"/>
          <w:right w:val="nil"/>
          <w:between w:val="nil"/>
        </w:pBdr>
        <w:ind w:left="1843"/>
        <w:jc w:val="left"/>
        <w:rPr>
          <w:color w:val="000000"/>
        </w:rPr>
      </w:pPr>
      <w:r>
        <w:rPr>
          <w:color w:val="000000"/>
        </w:rPr>
        <w:t>a report submitted by the Supplier pursuant to Paragraph 5.1 does not comply with the requirements set out in Paragraph 5.3; or</w:t>
      </w:r>
    </w:p>
    <w:p w:rsidR="008E5DA0" w:rsidRDefault="00ED4D36">
      <w:pPr>
        <w:numPr>
          <w:ilvl w:val="2"/>
          <w:numId w:val="1"/>
        </w:numPr>
        <w:pBdr>
          <w:top w:val="nil"/>
          <w:left w:val="nil"/>
          <w:bottom w:val="nil"/>
          <w:right w:val="nil"/>
          <w:between w:val="nil"/>
        </w:pBdr>
        <w:ind w:left="1843"/>
        <w:jc w:val="left"/>
        <w:rPr>
          <w:color w:val="000000"/>
        </w:rPr>
      </w:pPr>
      <w:r>
        <w:rPr>
          <w:color w:val="000000"/>
        </w:rPr>
        <w:t xml:space="preserve">the Supplier does not deliver a report pursuant to Paragraph 5.3 in accordance </w:t>
      </w:r>
      <w:r>
        <w:rPr>
          <w:color w:val="000000"/>
        </w:rPr>
        <w:t>with the applicable monitoring and reporting frequency.</w:t>
      </w:r>
    </w:p>
    <w:p w:rsidR="008E5DA0" w:rsidRDefault="00ED4D36">
      <w:pPr>
        <w:keepNext/>
        <w:numPr>
          <w:ilvl w:val="0"/>
          <w:numId w:val="1"/>
        </w:numPr>
        <w:pBdr>
          <w:top w:val="nil"/>
          <w:left w:val="nil"/>
          <w:bottom w:val="nil"/>
          <w:right w:val="nil"/>
          <w:between w:val="nil"/>
        </w:pBdr>
        <w:spacing w:before="120"/>
        <w:jc w:val="left"/>
        <w:rPr>
          <w:b/>
          <w:color w:val="000000"/>
        </w:rPr>
      </w:pPr>
      <w:bookmarkStart w:id="10" w:name="_heading=h.3as4poj" w:colFirst="0" w:colLast="0"/>
      <w:bookmarkEnd w:id="10"/>
      <w:r>
        <w:rPr>
          <w:b/>
          <w:color w:val="000000"/>
        </w:rPr>
        <w:t>What happens if there is a financial distress event</w:t>
      </w:r>
    </w:p>
    <w:p w:rsidR="008E5DA0" w:rsidRDefault="00ED4D36">
      <w:pPr>
        <w:numPr>
          <w:ilvl w:val="1"/>
          <w:numId w:val="1"/>
        </w:numPr>
        <w:pBdr>
          <w:top w:val="nil"/>
          <w:left w:val="nil"/>
          <w:bottom w:val="nil"/>
          <w:right w:val="nil"/>
          <w:between w:val="nil"/>
        </w:pBdr>
        <w:spacing w:before="120" w:after="120"/>
        <w:jc w:val="left"/>
        <w:rPr>
          <w:color w:val="000000"/>
        </w:rPr>
      </w:pPr>
      <w:bookmarkStart w:id="11" w:name="_heading=h.2et92p0" w:colFirst="0" w:colLast="0"/>
      <w:bookmarkEnd w:id="11"/>
      <w:r>
        <w:rPr>
          <w:color w:val="000000"/>
        </w:rPr>
        <w:t>The Supplier shall promptly notify (or shall procure that its auditors promptly notify) the Buyer in writing following the occurrence of a Financial</w:t>
      </w:r>
      <w:r>
        <w:rPr>
          <w:color w:val="000000"/>
        </w:rPr>
        <w:t xml:space="preserve"> Distress Event or any fact, circumstance or matter which could cause a Financial Distress Event and in any event, ensure that such notification is made within 10 Working Days of the date on which the Supplier first becomes aware of the Financial Distress </w:t>
      </w:r>
      <w:r>
        <w:rPr>
          <w:color w:val="000000"/>
        </w:rPr>
        <w:t>Event or the fact, circumstance or matter which could cause a Financial Distress Event.</w:t>
      </w:r>
    </w:p>
    <w:p w:rsidR="008E5DA0" w:rsidRDefault="00ED4D36">
      <w:pPr>
        <w:numPr>
          <w:ilvl w:val="1"/>
          <w:numId w:val="1"/>
        </w:numPr>
        <w:pBdr>
          <w:top w:val="nil"/>
          <w:left w:val="nil"/>
          <w:bottom w:val="nil"/>
          <w:right w:val="nil"/>
          <w:between w:val="nil"/>
        </w:pBdr>
        <w:spacing w:before="120" w:after="120"/>
        <w:jc w:val="left"/>
        <w:rPr>
          <w:color w:val="000000"/>
        </w:rPr>
      </w:pPr>
      <w:r>
        <w:rPr>
          <w:color w:val="000000"/>
        </w:rPr>
        <w:t xml:space="preserve">In the event of a Financial Distress Event then, immediately upon notification of the Financial Distress Event (or if the Buyer becomes aware of the Financial Distress </w:t>
      </w:r>
      <w:r>
        <w:rPr>
          <w:color w:val="000000"/>
        </w:rPr>
        <w:t>Event without notification and brings the event to the attention of the Supplier), the Supplier shall have the obligations and the Buyer shall have the rights and remedies as set out in Paragraphs 6.4 to 6.6.</w:t>
      </w:r>
    </w:p>
    <w:p w:rsidR="008E5DA0" w:rsidRDefault="00ED4D36">
      <w:pPr>
        <w:keepNext/>
        <w:numPr>
          <w:ilvl w:val="1"/>
          <w:numId w:val="1"/>
        </w:numPr>
        <w:pBdr>
          <w:top w:val="nil"/>
          <w:left w:val="nil"/>
          <w:bottom w:val="nil"/>
          <w:right w:val="nil"/>
          <w:between w:val="nil"/>
        </w:pBdr>
        <w:spacing w:before="120" w:after="120"/>
        <w:jc w:val="left"/>
        <w:rPr>
          <w:color w:val="000000"/>
        </w:rPr>
      </w:pPr>
      <w:bookmarkStart w:id="12" w:name="_heading=h.ihv636" w:colFirst="0" w:colLast="0"/>
      <w:bookmarkEnd w:id="12"/>
      <w:r>
        <w:t>NOT USED.</w:t>
      </w:r>
    </w:p>
    <w:p w:rsidR="008E5DA0" w:rsidRDefault="00ED4D36">
      <w:pPr>
        <w:numPr>
          <w:ilvl w:val="2"/>
          <w:numId w:val="1"/>
        </w:numPr>
        <w:pBdr>
          <w:top w:val="nil"/>
          <w:left w:val="nil"/>
          <w:bottom w:val="nil"/>
          <w:right w:val="nil"/>
          <w:between w:val="nil"/>
        </w:pBdr>
        <w:ind w:left="1843"/>
        <w:jc w:val="left"/>
        <w:rPr>
          <w:color w:val="000000"/>
        </w:rPr>
      </w:pPr>
      <w:r>
        <w:rPr>
          <w:color w:val="000000"/>
        </w:rPr>
        <w:t xml:space="preserve">rectify such late or non-payment; or </w:t>
      </w:r>
    </w:p>
    <w:p w:rsidR="008E5DA0" w:rsidRDefault="00ED4D36">
      <w:pPr>
        <w:numPr>
          <w:ilvl w:val="2"/>
          <w:numId w:val="1"/>
        </w:numPr>
        <w:pBdr>
          <w:top w:val="nil"/>
          <w:left w:val="nil"/>
          <w:bottom w:val="nil"/>
          <w:right w:val="nil"/>
          <w:between w:val="nil"/>
        </w:pBdr>
        <w:ind w:left="1843"/>
        <w:jc w:val="left"/>
        <w:rPr>
          <w:color w:val="000000"/>
        </w:rPr>
      </w:pPr>
      <w:r>
        <w:rPr>
          <w:color w:val="000000"/>
        </w:rPr>
        <w:t>demonstrate to the Buyer's reasonable satisfaction that there is a valid reason for late or non-payment.]</w:t>
      </w:r>
    </w:p>
    <w:p w:rsidR="008E5DA0" w:rsidRDefault="00ED4D36">
      <w:pPr>
        <w:keepNext/>
        <w:numPr>
          <w:ilvl w:val="1"/>
          <w:numId w:val="1"/>
        </w:numPr>
        <w:pBdr>
          <w:top w:val="nil"/>
          <w:left w:val="nil"/>
          <w:bottom w:val="nil"/>
          <w:right w:val="nil"/>
          <w:between w:val="nil"/>
        </w:pBdr>
        <w:spacing w:before="120" w:after="120"/>
        <w:jc w:val="left"/>
        <w:rPr>
          <w:color w:val="000000"/>
        </w:rPr>
      </w:pPr>
      <w:bookmarkStart w:id="13" w:name="_heading=h.1t3h5sf" w:colFirst="0" w:colLast="0"/>
      <w:bookmarkEnd w:id="13"/>
      <w:r>
        <w:rPr>
          <w:color w:val="000000"/>
        </w:rPr>
        <w:t>The Supplier shall (and shall procure that each Additional FDE Group Member shall):</w:t>
      </w:r>
    </w:p>
    <w:p w:rsidR="008E5DA0" w:rsidRDefault="00ED4D36">
      <w:pPr>
        <w:numPr>
          <w:ilvl w:val="2"/>
          <w:numId w:val="1"/>
        </w:numPr>
        <w:pBdr>
          <w:top w:val="nil"/>
          <w:left w:val="nil"/>
          <w:bottom w:val="nil"/>
          <w:right w:val="nil"/>
          <w:between w:val="nil"/>
        </w:pBdr>
        <w:ind w:left="1843"/>
        <w:jc w:val="left"/>
        <w:rPr>
          <w:color w:val="000000"/>
        </w:rPr>
      </w:pPr>
      <w:bookmarkStart w:id="14" w:name="_heading=h.4d34og8" w:colFirst="0" w:colLast="0"/>
      <w:bookmarkEnd w:id="14"/>
      <w:r>
        <w:rPr>
          <w:color w:val="000000"/>
        </w:rPr>
        <w:t xml:space="preserve">at the request of the Buyer meet the Buyer as soon as reasonably </w:t>
      </w:r>
      <w:r>
        <w:rPr>
          <w:color w:val="000000"/>
        </w:rPr>
        <w:t>practicable (and in any event within three (3) Working Days of the initial notification (or awareness) of the Financial Distress Event) to review the effect of the Financial Distress Event on the continued performance of this Contract and delivery of the D</w:t>
      </w:r>
      <w:r>
        <w:rPr>
          <w:color w:val="000000"/>
        </w:rPr>
        <w:t>eliverables in accordance this Contract; and</w:t>
      </w:r>
    </w:p>
    <w:p w:rsidR="008E5DA0" w:rsidRDefault="00ED4D36">
      <w:pPr>
        <w:numPr>
          <w:ilvl w:val="2"/>
          <w:numId w:val="1"/>
        </w:numPr>
        <w:pBdr>
          <w:top w:val="nil"/>
          <w:left w:val="nil"/>
          <w:bottom w:val="nil"/>
          <w:right w:val="nil"/>
          <w:between w:val="nil"/>
        </w:pBdr>
        <w:ind w:left="1843"/>
        <w:jc w:val="left"/>
        <w:rPr>
          <w:color w:val="000000"/>
        </w:rPr>
      </w:pPr>
      <w:bookmarkStart w:id="15" w:name="_heading=h.2s8eyo1" w:colFirst="0" w:colLast="0"/>
      <w:bookmarkEnd w:id="15"/>
      <w:r>
        <w:rPr>
          <w:color w:val="000000"/>
        </w:rPr>
        <w:t>where the Buyer reasonably believes (</w:t>
      </w:r>
      <w:proofErr w:type="gramStart"/>
      <w:r>
        <w:rPr>
          <w:color w:val="000000"/>
        </w:rPr>
        <w:t>taking into account</w:t>
      </w:r>
      <w:proofErr w:type="gramEnd"/>
      <w:r>
        <w:rPr>
          <w:color w:val="000000"/>
        </w:rPr>
        <w:t xml:space="preserve"> the discussions and any representations made under Paragraph 6.4.1) that the Financial Distress Event could impact on the continued performance of this Co</w:t>
      </w:r>
      <w:r>
        <w:rPr>
          <w:color w:val="000000"/>
        </w:rPr>
        <w:t xml:space="preserve">ntract and delivery of the Deliverables in accordance with this Contract: </w:t>
      </w:r>
    </w:p>
    <w:p w:rsidR="008E5DA0" w:rsidRDefault="00ED4D36">
      <w:pPr>
        <w:numPr>
          <w:ilvl w:val="3"/>
          <w:numId w:val="1"/>
        </w:numPr>
        <w:pBdr>
          <w:top w:val="nil"/>
          <w:left w:val="nil"/>
          <w:bottom w:val="nil"/>
          <w:right w:val="nil"/>
          <w:between w:val="nil"/>
        </w:pBdr>
        <w:jc w:val="left"/>
        <w:rPr>
          <w:rFonts w:eastAsia="Arial"/>
          <w:color w:val="000000"/>
        </w:rPr>
      </w:pPr>
      <w:r>
        <w:rPr>
          <w:rFonts w:eastAsia="Arial"/>
          <w:color w:val="000000"/>
        </w:rPr>
        <w:t xml:space="preserve">submit to the Buyer for its Approval, a draft Financial Distress Service Continuity Plan as soon as reasonably </w:t>
      </w:r>
      <w:r>
        <w:rPr>
          <w:rFonts w:eastAsia="Arial"/>
          <w:color w:val="000000"/>
        </w:rPr>
        <w:lastRenderedPageBreak/>
        <w:t>practicable (and in any event, within ten (10) Working Days of the ini</w:t>
      </w:r>
      <w:r>
        <w:rPr>
          <w:rFonts w:eastAsia="Arial"/>
          <w:color w:val="000000"/>
        </w:rPr>
        <w:t xml:space="preserve">tial notification (or awareness) of the Financial Distress Event); </w:t>
      </w:r>
    </w:p>
    <w:p w:rsidR="008E5DA0" w:rsidRDefault="00ED4D36">
      <w:pPr>
        <w:numPr>
          <w:ilvl w:val="3"/>
          <w:numId w:val="1"/>
        </w:numPr>
        <w:pBdr>
          <w:top w:val="nil"/>
          <w:left w:val="nil"/>
          <w:bottom w:val="nil"/>
          <w:right w:val="nil"/>
          <w:between w:val="nil"/>
        </w:pBdr>
        <w:ind w:hanging="849"/>
        <w:jc w:val="left"/>
        <w:rPr>
          <w:color w:val="000000"/>
        </w:rPr>
      </w:pPr>
      <w:r>
        <w:rPr>
          <w:color w:val="000000"/>
        </w:rPr>
        <w:t>use reasonable endeavours to put in place the necessary measures with each Additional FDE Group Member to ensure that it is able to provide financial information relating to that Additional FDE Group Member to the Buyer; and</w:t>
      </w:r>
    </w:p>
    <w:p w:rsidR="008E5DA0" w:rsidRDefault="00ED4D36">
      <w:pPr>
        <w:numPr>
          <w:ilvl w:val="3"/>
          <w:numId w:val="1"/>
        </w:numPr>
        <w:pBdr>
          <w:top w:val="nil"/>
          <w:left w:val="nil"/>
          <w:bottom w:val="nil"/>
          <w:right w:val="nil"/>
          <w:between w:val="nil"/>
        </w:pBdr>
        <w:ind w:hanging="849"/>
        <w:jc w:val="left"/>
        <w:rPr>
          <w:color w:val="000000"/>
        </w:rPr>
      </w:pPr>
      <w:bookmarkStart w:id="16" w:name="_heading=h.17dp8vu" w:colFirst="0" w:colLast="0"/>
      <w:bookmarkEnd w:id="16"/>
      <w:r>
        <w:rPr>
          <w:color w:val="000000"/>
        </w:rPr>
        <w:t>provide such financial informat</w:t>
      </w:r>
      <w:r>
        <w:rPr>
          <w:color w:val="000000"/>
        </w:rPr>
        <w:t>ion relating to FDE Group entity as the Buyer may reasonably require.</w:t>
      </w:r>
    </w:p>
    <w:p w:rsidR="008E5DA0" w:rsidRDefault="00ED4D36">
      <w:pPr>
        <w:numPr>
          <w:ilvl w:val="1"/>
          <w:numId w:val="1"/>
        </w:numPr>
        <w:pBdr>
          <w:top w:val="nil"/>
          <w:left w:val="nil"/>
          <w:bottom w:val="nil"/>
          <w:right w:val="nil"/>
          <w:between w:val="nil"/>
        </w:pBdr>
        <w:spacing w:before="120" w:after="120"/>
        <w:jc w:val="left"/>
        <w:rPr>
          <w:color w:val="000000"/>
        </w:rPr>
      </w:pPr>
      <w:bookmarkStart w:id="17" w:name="_heading=h.3rdcrjn" w:colFirst="0" w:colLast="0"/>
      <w:bookmarkEnd w:id="17"/>
      <w:r>
        <w:rPr>
          <w:color w:val="000000"/>
        </w:rPr>
        <w:t>If the Buyer does not (acting reasonably) approve the draft Financial Distress Service Continuity Plan, it shall inform the Supplier of its reasons and the Supplier shall take those reas</w:t>
      </w:r>
      <w:r>
        <w:rPr>
          <w:color w:val="000000"/>
        </w:rPr>
        <w:t>ons into account in the preparation of a further draft Financial Distress Service Continuity Plan, which shall be resubmitted to the Buyer within five (5) Working Days of the rejection of the first or subsequent (as the case may be) drafts. This process sh</w:t>
      </w:r>
      <w:r>
        <w:rPr>
          <w:color w:val="000000"/>
        </w:rPr>
        <w:t>all be repeated until the Financial Distress Service Continuity Plan is either:</w:t>
      </w:r>
    </w:p>
    <w:p w:rsidR="008E5DA0" w:rsidRDefault="00ED4D36">
      <w:pPr>
        <w:numPr>
          <w:ilvl w:val="2"/>
          <w:numId w:val="1"/>
        </w:numPr>
        <w:pBdr>
          <w:top w:val="nil"/>
          <w:left w:val="nil"/>
          <w:bottom w:val="nil"/>
          <w:right w:val="nil"/>
          <w:between w:val="nil"/>
        </w:pBdr>
        <w:ind w:left="1843"/>
        <w:jc w:val="left"/>
        <w:rPr>
          <w:color w:val="000000"/>
        </w:rPr>
      </w:pPr>
      <w:r>
        <w:rPr>
          <w:color w:val="000000"/>
        </w:rPr>
        <w:t xml:space="preserve">Approved; </w:t>
      </w:r>
    </w:p>
    <w:p w:rsidR="008E5DA0" w:rsidRDefault="00ED4D36">
      <w:pPr>
        <w:numPr>
          <w:ilvl w:val="2"/>
          <w:numId w:val="1"/>
        </w:numPr>
        <w:pBdr>
          <w:top w:val="nil"/>
          <w:left w:val="nil"/>
          <w:bottom w:val="nil"/>
          <w:right w:val="nil"/>
          <w:between w:val="nil"/>
        </w:pBdr>
        <w:ind w:left="1843"/>
        <w:jc w:val="left"/>
        <w:rPr>
          <w:color w:val="000000"/>
        </w:rPr>
      </w:pPr>
      <w:bookmarkStart w:id="18" w:name="_heading=h.1pxezwc" w:colFirst="0" w:colLast="0"/>
      <w:bookmarkEnd w:id="18"/>
      <w:r>
        <w:rPr>
          <w:color w:val="000000"/>
        </w:rPr>
        <w:t>referred, by notice sent by either Party to the other Party explaining why it thinks the Financial Distress Service Continuity Plan has not been Approved, to commercial negotiation led by senior representatives who have authority to agree the Financial Dis</w:t>
      </w:r>
      <w:r>
        <w:rPr>
          <w:color w:val="000000"/>
        </w:rPr>
        <w:t xml:space="preserve">tress Service Continuity Plan (to be held within 28 days of the date of the notice); or </w:t>
      </w:r>
    </w:p>
    <w:p w:rsidR="008E5DA0" w:rsidRDefault="00ED4D36">
      <w:pPr>
        <w:numPr>
          <w:ilvl w:val="2"/>
          <w:numId w:val="1"/>
        </w:numPr>
        <w:pBdr>
          <w:top w:val="nil"/>
          <w:left w:val="nil"/>
          <w:bottom w:val="nil"/>
          <w:right w:val="nil"/>
          <w:between w:val="nil"/>
        </w:pBdr>
        <w:ind w:left="1843"/>
        <w:jc w:val="left"/>
        <w:rPr>
          <w:color w:val="000000"/>
        </w:rPr>
      </w:pPr>
      <w:bookmarkStart w:id="19" w:name="_heading=h.49x2ik5" w:colFirst="0" w:colLast="0"/>
      <w:bookmarkEnd w:id="19"/>
      <w:r>
        <w:rPr>
          <w:color w:val="000000"/>
        </w:rPr>
        <w:t>finally rejected by the Buyer.</w:t>
      </w:r>
    </w:p>
    <w:p w:rsidR="008E5DA0" w:rsidRDefault="00ED4D36">
      <w:pPr>
        <w:keepNext/>
        <w:numPr>
          <w:ilvl w:val="1"/>
          <w:numId w:val="1"/>
        </w:numPr>
        <w:pBdr>
          <w:top w:val="nil"/>
          <w:left w:val="nil"/>
          <w:bottom w:val="nil"/>
          <w:right w:val="nil"/>
          <w:between w:val="nil"/>
        </w:pBdr>
        <w:spacing w:before="120" w:after="120"/>
        <w:jc w:val="left"/>
        <w:rPr>
          <w:color w:val="000000"/>
        </w:rPr>
      </w:pPr>
      <w:bookmarkStart w:id="20" w:name="_heading=h.lnxbz9" w:colFirst="0" w:colLast="0"/>
      <w:bookmarkEnd w:id="20"/>
      <w:r>
        <w:rPr>
          <w:color w:val="000000"/>
        </w:rPr>
        <w:t>Following Approval of the Financial Distress Service Continuity Plan by the Buyer, the Supplier shall:</w:t>
      </w:r>
    </w:p>
    <w:p w:rsidR="008E5DA0" w:rsidRDefault="00ED4D36">
      <w:pPr>
        <w:numPr>
          <w:ilvl w:val="2"/>
          <w:numId w:val="1"/>
        </w:numPr>
        <w:pBdr>
          <w:top w:val="nil"/>
          <w:left w:val="nil"/>
          <w:bottom w:val="nil"/>
          <w:right w:val="nil"/>
          <w:between w:val="nil"/>
        </w:pBdr>
        <w:ind w:left="1843"/>
        <w:jc w:val="left"/>
        <w:rPr>
          <w:color w:val="000000"/>
        </w:rPr>
      </w:pPr>
      <w:bookmarkStart w:id="21" w:name="_heading=h.35nkun2" w:colFirst="0" w:colLast="0"/>
      <w:bookmarkEnd w:id="21"/>
      <w:r>
        <w:rPr>
          <w:color w:val="000000"/>
        </w:rPr>
        <w:t>on a regular basis (which shall not be less than Monthly), review the Financial Distress Service Continuity Plan and assess whether it remains adequate and up to date to ensure the continued performance this Contract and delivery of the Deliverables in acc</w:t>
      </w:r>
      <w:r>
        <w:rPr>
          <w:color w:val="000000"/>
        </w:rPr>
        <w:t>ordance with this Contract;</w:t>
      </w:r>
    </w:p>
    <w:p w:rsidR="008E5DA0" w:rsidRDefault="00ED4D36">
      <w:pPr>
        <w:numPr>
          <w:ilvl w:val="2"/>
          <w:numId w:val="1"/>
        </w:numPr>
        <w:pBdr>
          <w:top w:val="nil"/>
          <w:left w:val="nil"/>
          <w:bottom w:val="nil"/>
          <w:right w:val="nil"/>
          <w:between w:val="nil"/>
        </w:pBdr>
        <w:ind w:left="1843"/>
        <w:jc w:val="left"/>
        <w:rPr>
          <w:color w:val="000000"/>
        </w:rPr>
      </w:pPr>
      <w:r>
        <w:rPr>
          <w:color w:val="000000"/>
        </w:rPr>
        <w:t>provide a written report of the results of each review and assessment carried out under Paragraph 6.6.1 to the Buyer;</w:t>
      </w:r>
    </w:p>
    <w:p w:rsidR="008E5DA0" w:rsidRDefault="00ED4D36">
      <w:pPr>
        <w:numPr>
          <w:ilvl w:val="2"/>
          <w:numId w:val="1"/>
        </w:numPr>
        <w:pBdr>
          <w:top w:val="nil"/>
          <w:left w:val="nil"/>
          <w:bottom w:val="nil"/>
          <w:right w:val="nil"/>
          <w:between w:val="nil"/>
        </w:pBdr>
        <w:ind w:left="1843"/>
        <w:jc w:val="left"/>
        <w:rPr>
          <w:color w:val="000000"/>
        </w:rPr>
      </w:pPr>
      <w:bookmarkStart w:id="22" w:name="_heading=h.1ksv4uv" w:colFirst="0" w:colLast="0"/>
      <w:bookmarkEnd w:id="22"/>
      <w:r>
        <w:rPr>
          <w:color w:val="000000"/>
        </w:rPr>
        <w:t>where the Financial Distress Service Continuity Plan is not adequate or up to date in accordance with Paragrap</w:t>
      </w:r>
      <w:r>
        <w:rPr>
          <w:color w:val="000000"/>
        </w:rPr>
        <w:t xml:space="preserve">h 6.6.1, submit an updated Financial Distress Service Continuity Plan to the Buyer for its Approval, and the provisions of Paragraphs 6.5 shall apply to the review and Approval process for the updated Financial Distress Service Continuity Plan; and </w:t>
      </w:r>
    </w:p>
    <w:p w:rsidR="008E5DA0" w:rsidRDefault="00ED4D36">
      <w:pPr>
        <w:numPr>
          <w:ilvl w:val="2"/>
          <w:numId w:val="1"/>
        </w:numPr>
        <w:pBdr>
          <w:top w:val="nil"/>
          <w:left w:val="nil"/>
          <w:bottom w:val="nil"/>
          <w:right w:val="nil"/>
          <w:between w:val="nil"/>
        </w:pBdr>
        <w:ind w:left="1843"/>
        <w:jc w:val="left"/>
        <w:rPr>
          <w:color w:val="000000"/>
        </w:rPr>
      </w:pPr>
      <w:bookmarkStart w:id="23" w:name="_heading=h.44sinio" w:colFirst="0" w:colLast="0"/>
      <w:bookmarkEnd w:id="23"/>
      <w:r>
        <w:rPr>
          <w:color w:val="000000"/>
        </w:rPr>
        <w:t>comply</w:t>
      </w:r>
      <w:r>
        <w:rPr>
          <w:color w:val="000000"/>
        </w:rPr>
        <w:t xml:space="preserve"> with the Financial Distress Service Continuity Plan (including any updated Financial Distress Service Continuity Plan).</w:t>
      </w:r>
    </w:p>
    <w:p w:rsidR="008E5DA0" w:rsidRDefault="00ED4D36">
      <w:pPr>
        <w:keepNext/>
        <w:keepLines/>
        <w:numPr>
          <w:ilvl w:val="1"/>
          <w:numId w:val="1"/>
        </w:numPr>
        <w:pBdr>
          <w:top w:val="nil"/>
          <w:left w:val="nil"/>
          <w:bottom w:val="nil"/>
          <w:right w:val="nil"/>
          <w:between w:val="nil"/>
        </w:pBdr>
        <w:spacing w:before="120" w:after="120"/>
        <w:ind w:left="901" w:hanging="544"/>
        <w:jc w:val="left"/>
        <w:rPr>
          <w:color w:val="000000"/>
        </w:rPr>
      </w:pPr>
      <w:bookmarkStart w:id="24" w:name="_heading=h.2jxsxqh" w:colFirst="0" w:colLast="0"/>
      <w:bookmarkEnd w:id="24"/>
      <w:r>
        <w:rPr>
          <w:color w:val="000000"/>
        </w:rPr>
        <w:lastRenderedPageBreak/>
        <w:t>Where the Supplier reasonably believes that the relevant Financial Distress Event (or the circumstance or matter which has caused or ot</w:t>
      </w:r>
      <w:r>
        <w:rPr>
          <w:color w:val="000000"/>
        </w:rPr>
        <w:t xml:space="preserve">herwise led to it) no longer exists, it shall notify the Buyer and subject to the agreement of the Parties, the Supplier may be relieved of its obligations under Paragraph 6.6. </w:t>
      </w:r>
    </w:p>
    <w:p w:rsidR="008E5DA0" w:rsidRDefault="00ED4D36">
      <w:pPr>
        <w:keepNext/>
        <w:numPr>
          <w:ilvl w:val="0"/>
          <w:numId w:val="1"/>
        </w:numPr>
        <w:pBdr>
          <w:top w:val="nil"/>
          <w:left w:val="nil"/>
          <w:bottom w:val="nil"/>
          <w:right w:val="nil"/>
          <w:between w:val="nil"/>
        </w:pBdr>
        <w:spacing w:before="120"/>
        <w:jc w:val="left"/>
        <w:rPr>
          <w:b/>
          <w:color w:val="000000"/>
        </w:rPr>
      </w:pPr>
      <w:bookmarkStart w:id="25" w:name="_heading=h.2p2csry" w:colFirst="0" w:colLast="0"/>
      <w:bookmarkEnd w:id="25"/>
      <w:r>
        <w:rPr>
          <w:b/>
          <w:color w:val="000000"/>
        </w:rPr>
        <w:t xml:space="preserve">When the Buyer can terminate for financial distress </w:t>
      </w:r>
    </w:p>
    <w:p w:rsidR="008E5DA0" w:rsidRDefault="00ED4D36">
      <w:pPr>
        <w:numPr>
          <w:ilvl w:val="1"/>
          <w:numId w:val="1"/>
        </w:numPr>
        <w:pBdr>
          <w:top w:val="nil"/>
          <w:left w:val="nil"/>
          <w:bottom w:val="nil"/>
          <w:right w:val="nil"/>
          <w:between w:val="nil"/>
        </w:pBdr>
        <w:spacing w:before="120" w:after="120"/>
        <w:jc w:val="left"/>
        <w:rPr>
          <w:color w:val="000000"/>
        </w:rPr>
      </w:pPr>
      <w:bookmarkStart w:id="26" w:name="_heading=h.z337ya" w:colFirst="0" w:colLast="0"/>
      <w:bookmarkEnd w:id="26"/>
      <w:r>
        <w:rPr>
          <w:color w:val="000000"/>
        </w:rPr>
        <w:t xml:space="preserve">The Buyer shall be entitled to terminate this Contract for Material Default if: </w:t>
      </w:r>
    </w:p>
    <w:p w:rsidR="008E5DA0" w:rsidRDefault="00ED4D36">
      <w:pPr>
        <w:numPr>
          <w:ilvl w:val="2"/>
          <w:numId w:val="1"/>
        </w:numPr>
        <w:pBdr>
          <w:top w:val="nil"/>
          <w:left w:val="nil"/>
          <w:bottom w:val="nil"/>
          <w:right w:val="nil"/>
          <w:between w:val="nil"/>
        </w:pBdr>
        <w:ind w:left="1757"/>
        <w:jc w:val="left"/>
        <w:rPr>
          <w:color w:val="000000"/>
        </w:rPr>
      </w:pPr>
      <w:r>
        <w:rPr>
          <w:color w:val="000000"/>
        </w:rPr>
        <w:t xml:space="preserve">the Supplier fails to notify the Buyer of a Financial Distress Event in accordance with Paragraph 6.1; </w:t>
      </w:r>
    </w:p>
    <w:p w:rsidR="008E5DA0" w:rsidRDefault="00ED4D36">
      <w:pPr>
        <w:numPr>
          <w:ilvl w:val="2"/>
          <w:numId w:val="1"/>
        </w:numPr>
        <w:pBdr>
          <w:top w:val="nil"/>
          <w:left w:val="nil"/>
          <w:bottom w:val="nil"/>
          <w:right w:val="nil"/>
          <w:between w:val="nil"/>
        </w:pBdr>
        <w:ind w:left="1757"/>
        <w:jc w:val="left"/>
        <w:rPr>
          <w:color w:val="000000"/>
        </w:rPr>
      </w:pPr>
      <w:r>
        <w:rPr>
          <w:color w:val="000000"/>
        </w:rPr>
        <w:t>the Supplier fails to comply with any part of Paragraph 6.4;</w:t>
      </w:r>
    </w:p>
    <w:p w:rsidR="008E5DA0" w:rsidRDefault="00ED4D36">
      <w:pPr>
        <w:numPr>
          <w:ilvl w:val="2"/>
          <w:numId w:val="1"/>
        </w:numPr>
        <w:pBdr>
          <w:top w:val="nil"/>
          <w:left w:val="nil"/>
          <w:bottom w:val="nil"/>
          <w:right w:val="nil"/>
          <w:between w:val="nil"/>
        </w:pBdr>
        <w:ind w:left="1757"/>
        <w:jc w:val="left"/>
        <w:rPr>
          <w:color w:val="000000"/>
        </w:rPr>
      </w:pPr>
      <w:bookmarkStart w:id="27" w:name="_heading=h.147n2zr" w:colFirst="0" w:colLast="0"/>
      <w:bookmarkEnd w:id="27"/>
      <w:r>
        <w:rPr>
          <w:color w:val="000000"/>
        </w:rPr>
        <w:t>subject to</w:t>
      </w:r>
      <w:r>
        <w:rPr>
          <w:color w:val="000000"/>
        </w:rPr>
        <w:t xml:space="preserve"> Paragraph 7.2, the Buyer finally rejects a Financial Distress Service Continuity Plan (or any updated Financial Distress Service Continuity Plan) in accordance with Paragraph 6.5.3; </w:t>
      </w:r>
    </w:p>
    <w:p w:rsidR="008E5DA0" w:rsidRDefault="00ED4D36">
      <w:pPr>
        <w:numPr>
          <w:ilvl w:val="2"/>
          <w:numId w:val="1"/>
        </w:numPr>
        <w:pBdr>
          <w:top w:val="nil"/>
          <w:left w:val="nil"/>
          <w:bottom w:val="nil"/>
          <w:right w:val="nil"/>
          <w:between w:val="nil"/>
        </w:pBdr>
        <w:ind w:left="1757"/>
        <w:jc w:val="left"/>
        <w:rPr>
          <w:color w:val="000000"/>
        </w:rPr>
      </w:pPr>
      <w:r>
        <w:rPr>
          <w:color w:val="000000"/>
        </w:rPr>
        <w:t>the senior representatives who have authority to agree the Financial Dis</w:t>
      </w:r>
      <w:r>
        <w:rPr>
          <w:color w:val="000000"/>
        </w:rPr>
        <w:t>tress Service Continuity Plan (acting reasonably) do not meet within 28 days of the date of the notice of referral pursuant to Paragraph 6.5.2;</w:t>
      </w:r>
    </w:p>
    <w:p w:rsidR="008E5DA0" w:rsidRDefault="00ED4D36">
      <w:pPr>
        <w:numPr>
          <w:ilvl w:val="2"/>
          <w:numId w:val="1"/>
        </w:numPr>
        <w:pBdr>
          <w:top w:val="nil"/>
          <w:left w:val="nil"/>
          <w:bottom w:val="nil"/>
          <w:right w:val="nil"/>
          <w:between w:val="nil"/>
        </w:pBdr>
        <w:ind w:left="1757"/>
        <w:jc w:val="left"/>
        <w:rPr>
          <w:color w:val="000000"/>
        </w:rPr>
      </w:pPr>
      <w:r>
        <w:rPr>
          <w:color w:val="000000"/>
        </w:rPr>
        <w:t>the senior representatives who have authority to agree the Financial Distress Service Continuity Plan (acting re</w:t>
      </w:r>
      <w:r>
        <w:rPr>
          <w:color w:val="000000"/>
        </w:rPr>
        <w:t>asonably) do not agree the Financial Distress Service Continuity Plan after it has been referred pursuant to Paragraph 6.5.2; and/or</w:t>
      </w:r>
    </w:p>
    <w:p w:rsidR="008E5DA0" w:rsidRDefault="00ED4D36">
      <w:pPr>
        <w:numPr>
          <w:ilvl w:val="2"/>
          <w:numId w:val="1"/>
        </w:numPr>
        <w:pBdr>
          <w:top w:val="nil"/>
          <w:left w:val="nil"/>
          <w:bottom w:val="nil"/>
          <w:right w:val="nil"/>
          <w:between w:val="nil"/>
        </w:pBdr>
        <w:ind w:left="1757"/>
        <w:jc w:val="left"/>
        <w:rPr>
          <w:color w:val="000000"/>
        </w:rPr>
      </w:pPr>
      <w:r>
        <w:rPr>
          <w:color w:val="000000"/>
        </w:rPr>
        <w:t>the Supplier fails to comply with the terms of the Financial Distress Service Continuity Plan (or any updated Financial Dis</w:t>
      </w:r>
      <w:r>
        <w:rPr>
          <w:color w:val="000000"/>
        </w:rPr>
        <w:t>tress Service Continuity Plan) in accordance with Paragraph 6.6.4,</w:t>
      </w:r>
    </w:p>
    <w:p w:rsidR="008E5DA0" w:rsidRDefault="00ED4D36">
      <w:pPr>
        <w:pBdr>
          <w:top w:val="nil"/>
          <w:left w:val="nil"/>
          <w:bottom w:val="nil"/>
          <w:right w:val="nil"/>
          <w:between w:val="nil"/>
        </w:pBdr>
        <w:ind w:left="187" w:firstLine="720"/>
        <w:jc w:val="left"/>
        <w:rPr>
          <w:color w:val="000000"/>
        </w:rPr>
      </w:pPr>
      <w:r>
        <w:rPr>
          <w:color w:val="000000"/>
        </w:rPr>
        <w:t>and the consequences of termination in Clause 14.5.1 shall apply.</w:t>
      </w:r>
    </w:p>
    <w:p w:rsidR="008E5DA0" w:rsidRDefault="00ED4D36">
      <w:pPr>
        <w:numPr>
          <w:ilvl w:val="1"/>
          <w:numId w:val="1"/>
        </w:numPr>
        <w:pBdr>
          <w:top w:val="nil"/>
          <w:left w:val="nil"/>
          <w:bottom w:val="nil"/>
          <w:right w:val="nil"/>
          <w:between w:val="nil"/>
        </w:pBdr>
        <w:spacing w:before="120" w:after="120"/>
        <w:jc w:val="left"/>
        <w:rPr>
          <w:color w:val="000000"/>
        </w:rPr>
      </w:pPr>
      <w:bookmarkStart w:id="28" w:name="_heading=h.3o7alnk" w:colFirst="0" w:colLast="0"/>
      <w:bookmarkEnd w:id="28"/>
      <w:r>
        <w:rPr>
          <w:color w:val="000000"/>
        </w:rPr>
        <w:t>A Material Default may only occur under Paragraph 7.1.3 after the expiry of the first five (5) Working Days period for the Supplier to submit a revised draft of the first draft of the Financial Distress Service Continuity Plan starting on and from the date</w:t>
      </w:r>
      <w:r>
        <w:rPr>
          <w:color w:val="000000"/>
        </w:rPr>
        <w:t xml:space="preserve"> on which the Buyer first notified the Supplier that Supplier must submit a revised draft of the first draft Financial Distress Service Continuity Plan.</w:t>
      </w:r>
    </w:p>
    <w:p w:rsidR="008E5DA0" w:rsidRDefault="00ED4D36">
      <w:pPr>
        <w:keepNext/>
        <w:numPr>
          <w:ilvl w:val="0"/>
          <w:numId w:val="1"/>
        </w:numPr>
        <w:pBdr>
          <w:top w:val="nil"/>
          <w:left w:val="nil"/>
          <w:bottom w:val="nil"/>
          <w:right w:val="nil"/>
          <w:between w:val="nil"/>
        </w:pBdr>
        <w:spacing w:before="120"/>
        <w:jc w:val="left"/>
        <w:rPr>
          <w:b/>
          <w:color w:val="000000"/>
        </w:rPr>
      </w:pPr>
      <w:bookmarkStart w:id="29" w:name="_heading=h.3j2qqm3" w:colFirst="0" w:colLast="0"/>
      <w:bookmarkEnd w:id="29"/>
      <w:r>
        <w:rPr>
          <w:b/>
          <w:color w:val="000000"/>
        </w:rPr>
        <w:t>What happens If your Primary Metric is still good</w:t>
      </w:r>
    </w:p>
    <w:p w:rsidR="008E5DA0" w:rsidRDefault="00ED4D36">
      <w:pPr>
        <w:keepNext/>
        <w:pBdr>
          <w:top w:val="nil"/>
          <w:left w:val="nil"/>
          <w:bottom w:val="nil"/>
          <w:right w:val="nil"/>
          <w:between w:val="nil"/>
        </w:pBdr>
        <w:spacing w:before="120" w:after="120"/>
        <w:ind w:left="426"/>
        <w:jc w:val="left"/>
        <w:rPr>
          <w:color w:val="000000"/>
        </w:rPr>
      </w:pPr>
      <w:r>
        <w:rPr>
          <w:color w:val="000000"/>
        </w:rPr>
        <w:t>Without prejudice to the Supplier’s obligations and the Buyer’s rights and remedies under Paragraph ‎6, if, following the occurrence of a Financial Distress Event, the Supplier evidences to the Buyer’s satisfaction that the Primary Metric shows that the Fi</w:t>
      </w:r>
      <w:r>
        <w:rPr>
          <w:color w:val="000000"/>
        </w:rPr>
        <w:t>nancial Distress Event no longer exists, then:</w:t>
      </w:r>
    </w:p>
    <w:p w:rsidR="008E5DA0" w:rsidRDefault="00ED4D36">
      <w:pPr>
        <w:numPr>
          <w:ilvl w:val="1"/>
          <w:numId w:val="1"/>
        </w:numPr>
        <w:pBdr>
          <w:top w:val="nil"/>
          <w:left w:val="nil"/>
          <w:bottom w:val="nil"/>
          <w:right w:val="nil"/>
          <w:between w:val="nil"/>
        </w:pBdr>
        <w:spacing w:before="120" w:after="120"/>
        <w:jc w:val="left"/>
        <w:rPr>
          <w:color w:val="000000"/>
        </w:rPr>
      </w:pPr>
      <w:r>
        <w:rPr>
          <w:color w:val="000000"/>
        </w:rPr>
        <w:t>the Supplier shall be relieved automatically of its obligations under Paragraphs 6.4 to 6.6; and</w:t>
      </w:r>
    </w:p>
    <w:p w:rsidR="008E5DA0" w:rsidRDefault="00ED4D36">
      <w:pPr>
        <w:numPr>
          <w:ilvl w:val="1"/>
          <w:numId w:val="1"/>
        </w:numPr>
        <w:pBdr>
          <w:top w:val="nil"/>
          <w:left w:val="nil"/>
          <w:bottom w:val="nil"/>
          <w:right w:val="nil"/>
          <w:between w:val="nil"/>
        </w:pBdr>
        <w:spacing w:before="120" w:after="120"/>
        <w:jc w:val="left"/>
        <w:rPr>
          <w:color w:val="000000"/>
        </w:rPr>
      </w:pPr>
      <w:r>
        <w:rPr>
          <w:color w:val="000000"/>
        </w:rPr>
        <w:t>the Buyer shall not be entitled to require the Supplier to provide financial information in accordance with Para</w:t>
      </w:r>
      <w:r>
        <w:rPr>
          <w:color w:val="000000"/>
        </w:rPr>
        <w:t>graph 6.4.2(c)).</w:t>
      </w:r>
    </w:p>
    <w:p w:rsidR="008E5DA0" w:rsidRDefault="00ED4D36">
      <w:pPr>
        <w:keepNext/>
        <w:numPr>
          <w:ilvl w:val="0"/>
          <w:numId w:val="1"/>
        </w:numPr>
        <w:tabs>
          <w:tab w:val="left" w:pos="142"/>
        </w:tabs>
        <w:spacing w:before="120" w:after="0" w:line="259" w:lineRule="auto"/>
        <w:jc w:val="left"/>
        <w:rPr>
          <w:rFonts w:eastAsia="Arial"/>
        </w:rPr>
      </w:pPr>
      <w:bookmarkStart w:id="30" w:name="_heading=h.1y810tw" w:colFirst="0" w:colLast="0"/>
      <w:bookmarkEnd w:id="30"/>
      <w:r>
        <w:rPr>
          <w:rFonts w:eastAsia="Arial"/>
          <w:b/>
        </w:rPr>
        <w:lastRenderedPageBreak/>
        <w:t>Board confirmation</w:t>
      </w:r>
    </w:p>
    <w:p w:rsidR="008E5DA0" w:rsidRDefault="008E5DA0">
      <w:pPr>
        <w:keepNext/>
        <w:tabs>
          <w:tab w:val="left" w:pos="142"/>
        </w:tabs>
        <w:spacing w:after="0" w:line="259" w:lineRule="auto"/>
        <w:ind w:left="720"/>
        <w:jc w:val="left"/>
        <w:rPr>
          <w:rFonts w:eastAsia="Arial"/>
          <w:b/>
        </w:rPr>
      </w:pPr>
    </w:p>
    <w:p w:rsidR="008E5DA0" w:rsidRDefault="00ED4D36">
      <w:pPr>
        <w:numPr>
          <w:ilvl w:val="1"/>
          <w:numId w:val="1"/>
        </w:numPr>
        <w:tabs>
          <w:tab w:val="left" w:pos="1134"/>
        </w:tabs>
        <w:spacing w:after="120" w:line="259" w:lineRule="auto"/>
        <w:jc w:val="left"/>
        <w:rPr>
          <w:rFonts w:ascii="Calibri" w:eastAsia="Calibri" w:hAnsi="Calibri" w:cs="Calibri"/>
        </w:rPr>
      </w:pPr>
      <w:r>
        <w:t>If the Contract has been specified as a Critical Service Contract under Paragraph 1.1 of Call-Off Schedule 24 (Corporate Resolution Planning) (if applicable) then, subject to Paragraph 9.4 of this Schedule, the Supplier</w:t>
      </w:r>
      <w:r>
        <w:t xml:space="preserve"> shall within ninety (90) days after each Accounting Reference Date or within 15 months of the previous Board Confirmation (whichever is the earlier) provide a Board Confirmation to the Relevant Authority in the form set out at Annex 4 to this Schedule, co</w:t>
      </w:r>
      <w:r>
        <w:t>nfirming that to the best of the Board’s knowledge and belief, it is not aware of and has no knowledge:</w:t>
      </w:r>
    </w:p>
    <w:p w:rsidR="008E5DA0" w:rsidRDefault="00ED4D36">
      <w:pPr>
        <w:numPr>
          <w:ilvl w:val="2"/>
          <w:numId w:val="1"/>
        </w:numPr>
        <w:tabs>
          <w:tab w:val="left" w:pos="1985"/>
        </w:tabs>
        <w:spacing w:before="120" w:after="120"/>
      </w:pPr>
      <w:r>
        <w:t>that a Financial Distress Event has occurred since the later of the Effective Date or the previous Board Confirmation or is subsisting; or</w:t>
      </w:r>
    </w:p>
    <w:p w:rsidR="008E5DA0" w:rsidRDefault="00ED4D36">
      <w:pPr>
        <w:numPr>
          <w:ilvl w:val="2"/>
          <w:numId w:val="1"/>
        </w:numPr>
        <w:tabs>
          <w:tab w:val="left" w:pos="1985"/>
        </w:tabs>
        <w:spacing w:before="120" w:after="120"/>
      </w:pPr>
      <w:r>
        <w:t>of any matter</w:t>
      </w:r>
      <w:r>
        <w:t>s which have occurred or are subsisting that could reasonably be expected to cause a Financial Distress Event.</w:t>
      </w:r>
    </w:p>
    <w:p w:rsidR="008E5DA0" w:rsidRDefault="00ED4D36">
      <w:pPr>
        <w:numPr>
          <w:ilvl w:val="1"/>
          <w:numId w:val="1"/>
        </w:numPr>
        <w:tabs>
          <w:tab w:val="left" w:pos="1134"/>
        </w:tabs>
        <w:spacing w:before="120" w:after="120"/>
        <w:jc w:val="left"/>
      </w:pPr>
      <w:r>
        <w:t xml:space="preserve"> The Supplier shall ensure that in its preparation of the Board Confirmation it exercises due care and diligence and has made reasonable enquiry of all relevant Supplier Staff and other persons as is reasonably necessary to understand and confirm the posit</w:t>
      </w:r>
      <w:r>
        <w:t>ion.</w:t>
      </w:r>
    </w:p>
    <w:p w:rsidR="008E5DA0" w:rsidRDefault="00ED4D36">
      <w:pPr>
        <w:numPr>
          <w:ilvl w:val="1"/>
          <w:numId w:val="1"/>
        </w:numPr>
        <w:tabs>
          <w:tab w:val="left" w:pos="1134"/>
        </w:tabs>
        <w:spacing w:before="120" w:after="120"/>
        <w:jc w:val="left"/>
      </w:pPr>
      <w:r>
        <w:t xml:space="preserve"> In respect of the first Board Confirmation to be provided under this Contract, the Supplier shall provide the Board Confirmation within 15 months of the Effective Date if earlier than the timescale for submission set out in Paragraph 9.1 of this Sche</w:t>
      </w:r>
      <w:r>
        <w:t>dule.</w:t>
      </w:r>
    </w:p>
    <w:p w:rsidR="008E5DA0" w:rsidRDefault="00ED4D36">
      <w:pPr>
        <w:numPr>
          <w:ilvl w:val="1"/>
          <w:numId w:val="1"/>
        </w:numPr>
        <w:tabs>
          <w:tab w:val="left" w:pos="1134"/>
        </w:tabs>
        <w:spacing w:before="120" w:after="120"/>
        <w:jc w:val="left"/>
      </w:pPr>
      <w:r>
        <w:t xml:space="preserve"> Where the Supplier is unable to provide a Board Confirmation in accordance with Paragraphs 9.1 to 9.3 of this Schedule due to the occurrence of a Financial Distress Event or knowledge of subsisting matters which could reasonably be expected to cause</w:t>
      </w:r>
      <w:r>
        <w:t xml:space="preserve"> a Financial Distress Event, it will be sufficient for the Supplier to submit in place of the Board Confirmation, a statement from the Board of Directors to the Buyer (and where the Supplier is a Strategic Supplier, the Supplier shall send a copy of the st</w:t>
      </w:r>
      <w:r>
        <w:t>atement to the Cabinet Office Markets and Suppliers Team) setting out full details of any Financial Distress Events that have occurred and/or the matters which could reasonably be expected to cause a Financial Distress Event.</w:t>
      </w:r>
    </w:p>
    <w:p w:rsidR="008E5DA0" w:rsidRDefault="00ED4D36">
      <w:pPr>
        <w:pBdr>
          <w:top w:val="nil"/>
          <w:left w:val="nil"/>
          <w:bottom w:val="nil"/>
          <w:right w:val="nil"/>
          <w:between w:val="nil"/>
        </w:pBdr>
        <w:spacing w:before="120" w:after="120"/>
        <w:ind w:left="907"/>
        <w:jc w:val="left"/>
        <w:rPr>
          <w:color w:val="000000"/>
        </w:rPr>
      </w:pPr>
      <w:r>
        <w:br w:type="page"/>
      </w:r>
    </w:p>
    <w:p w:rsidR="008E5DA0" w:rsidRDefault="00ED4D36">
      <w:pPr>
        <w:spacing w:after="200" w:line="276" w:lineRule="auto"/>
        <w:jc w:val="left"/>
        <w:rPr>
          <w:b/>
          <w:smallCaps/>
          <w:color w:val="000000"/>
        </w:rPr>
      </w:pPr>
      <w:bookmarkStart w:id="31" w:name="_heading=h.4i7ojhp" w:colFirst="0" w:colLast="0"/>
      <w:bookmarkEnd w:id="31"/>
      <w:r>
        <w:rPr>
          <w:b/>
          <w:smallCaps/>
          <w:color w:val="000000"/>
        </w:rPr>
        <w:lastRenderedPageBreak/>
        <w:t xml:space="preserve">ANNEX </w:t>
      </w:r>
      <w:bookmarkStart w:id="32" w:name="bookmark=id.32hioqz" w:colFirst="0" w:colLast="0"/>
      <w:bookmarkEnd w:id="32"/>
      <w:r>
        <w:rPr>
          <w:b/>
          <w:smallCaps/>
          <w:color w:val="000000"/>
        </w:rPr>
        <w:t xml:space="preserve">1: RATING </w:t>
      </w:r>
      <w:r>
        <w:rPr>
          <w:b/>
          <w:color w:val="000000"/>
        </w:rPr>
        <w:t>AGENCIES AND CREDIT REFERENCE AGENCIES</w:t>
      </w:r>
    </w:p>
    <w:p w:rsidR="008E5DA0" w:rsidRDefault="00ED4D36">
      <w:pPr>
        <w:keepNext/>
        <w:pBdr>
          <w:top w:val="nil"/>
          <w:left w:val="nil"/>
          <w:bottom w:val="nil"/>
          <w:right w:val="nil"/>
          <w:between w:val="nil"/>
        </w:pBdr>
        <w:spacing w:before="240" w:after="120"/>
        <w:jc w:val="left"/>
        <w:rPr>
          <w:b/>
          <w:color w:val="000000"/>
        </w:rPr>
      </w:pPr>
      <w:r>
        <w:rPr>
          <w:b/>
          <w:color w:val="000000"/>
        </w:rPr>
        <w:t xml:space="preserve">Part </w:t>
      </w:r>
      <w:bookmarkStart w:id="33" w:name="bookmark=id.1hmsyys" w:colFirst="0" w:colLast="0"/>
      <w:bookmarkEnd w:id="33"/>
      <w:r>
        <w:rPr>
          <w:b/>
          <w:color w:val="000000"/>
        </w:rPr>
        <w:t>A: Rating Agencies</w:t>
      </w:r>
    </w:p>
    <w:p w:rsidR="008E5DA0" w:rsidRDefault="00ED4D36">
      <w:pPr>
        <w:keepNext/>
        <w:spacing w:before="240" w:after="120"/>
        <w:jc w:val="left"/>
        <w:rPr>
          <w:color w:val="000000"/>
        </w:rPr>
      </w:pPr>
      <w:r>
        <w:t>Dun &amp; Bradstreet</w:t>
      </w:r>
    </w:p>
    <w:p w:rsidR="008E5DA0" w:rsidRDefault="008E5DA0">
      <w:pPr>
        <w:keepNext/>
        <w:pBdr>
          <w:top w:val="nil"/>
          <w:left w:val="nil"/>
          <w:bottom w:val="nil"/>
          <w:right w:val="nil"/>
          <w:between w:val="nil"/>
        </w:pBdr>
        <w:spacing w:before="240" w:after="120"/>
        <w:jc w:val="left"/>
        <w:rPr>
          <w:color w:val="000000"/>
        </w:rPr>
      </w:pPr>
    </w:p>
    <w:p w:rsidR="008E5DA0" w:rsidRDefault="008E5DA0">
      <w:pPr>
        <w:keepNext/>
        <w:pBdr>
          <w:top w:val="nil"/>
          <w:left w:val="nil"/>
          <w:bottom w:val="nil"/>
          <w:right w:val="nil"/>
          <w:between w:val="nil"/>
        </w:pBdr>
        <w:spacing w:before="240" w:after="120"/>
        <w:jc w:val="left"/>
        <w:rPr>
          <w:color w:val="000000"/>
        </w:rPr>
      </w:pPr>
    </w:p>
    <w:p w:rsidR="008E5DA0" w:rsidRDefault="00ED4D36">
      <w:pPr>
        <w:spacing w:after="200" w:line="276" w:lineRule="auto"/>
        <w:jc w:val="left"/>
        <w:rPr>
          <w:b/>
          <w:smallCaps/>
          <w:strike/>
          <w:color w:val="000000"/>
        </w:rPr>
      </w:pPr>
      <w:bookmarkStart w:id="34" w:name="_heading=h.2xcytpi" w:colFirst="0" w:colLast="0"/>
      <w:bookmarkEnd w:id="34"/>
      <w:r>
        <w:br w:type="page"/>
      </w:r>
      <w:r>
        <w:rPr>
          <w:b/>
          <w:smallCaps/>
          <w:color w:val="000000"/>
        </w:rPr>
        <w:lastRenderedPageBreak/>
        <w:t xml:space="preserve">ANNEX </w:t>
      </w:r>
      <w:bookmarkStart w:id="35" w:name="bookmark=id.2grqrue" w:colFirst="0" w:colLast="0"/>
      <w:bookmarkEnd w:id="35"/>
      <w:r>
        <w:rPr>
          <w:b/>
          <w:smallCaps/>
          <w:color w:val="000000"/>
        </w:rPr>
        <w:t>2: CREDIT RATINGS, CREDIT SCORES</w:t>
      </w:r>
      <w:r>
        <w:rPr>
          <w:b/>
          <w:smallCaps/>
          <w:strike/>
          <w:color w:val="000000"/>
        </w:rPr>
        <w:t xml:space="preserve"> AND FINANCIAL INDICATORS</w:t>
      </w:r>
    </w:p>
    <w:p w:rsidR="008E5DA0" w:rsidRDefault="00ED4D36">
      <w:pPr>
        <w:spacing w:after="200" w:line="276" w:lineRule="auto"/>
        <w:jc w:val="left"/>
        <w:rPr>
          <w:b/>
          <w:i/>
          <w:smallCaps/>
        </w:rPr>
      </w:pPr>
      <w:r>
        <w:rPr>
          <w:b/>
          <w:color w:val="000000"/>
        </w:rPr>
        <w:t xml:space="preserve">Part </w:t>
      </w:r>
      <w:bookmarkStart w:id="36" w:name="bookmark=id.vx1227" w:colFirst="0" w:colLast="0"/>
      <w:bookmarkEnd w:id="36"/>
      <w:r>
        <w:rPr>
          <w:b/>
          <w:color w:val="000000"/>
        </w:rPr>
        <w:t>A: Credit Rating</w:t>
      </w:r>
    </w:p>
    <w:p w:rsidR="008E5DA0" w:rsidRDefault="008E5DA0">
      <w:pPr>
        <w:spacing w:after="200" w:line="276" w:lineRule="auto"/>
        <w:jc w:val="left"/>
        <w:rPr>
          <w:b/>
          <w:i/>
          <w:smallCaps/>
        </w:rPr>
      </w:pPr>
    </w:p>
    <w:p w:rsidR="008E5DA0" w:rsidRDefault="00ED4D36">
      <w:pPr>
        <w:spacing w:before="100" w:after="300"/>
        <w:rPr>
          <w:rFonts w:eastAsia="Arial"/>
          <w:b/>
          <w:smallCaps/>
        </w:rPr>
      </w:pPr>
      <w:r>
        <w:rPr>
          <w:rFonts w:eastAsia="Arial"/>
          <w:b/>
        </w:rPr>
        <w:t>Annex 2</w:t>
      </w:r>
      <w:r>
        <w:rPr>
          <w:rFonts w:eastAsia="Arial"/>
          <w:b/>
          <w:smallCaps/>
        </w:rPr>
        <w:t xml:space="preserve">: </w:t>
      </w:r>
      <w:r>
        <w:rPr>
          <w:rFonts w:eastAsia="Arial"/>
          <w:b/>
        </w:rPr>
        <w:t>Credit Ratings and Credit Rating Thresholds</w:t>
      </w:r>
    </w:p>
    <w:tbl>
      <w:tblPr>
        <w:tblStyle w:val="ad"/>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8E5DA0">
        <w:tc>
          <w:tcPr>
            <w:tcW w:w="3080" w:type="dxa"/>
            <w:tcBorders>
              <w:top w:val="single" w:sz="4" w:space="0" w:color="000000"/>
            </w:tcBorders>
            <w:shd w:val="clear" w:color="auto" w:fill="FFFFFF"/>
          </w:tcPr>
          <w:p w:rsidR="008E5DA0" w:rsidRDefault="00ED4D36">
            <w:pPr>
              <w:keepNext/>
              <w:spacing w:before="240" w:after="120"/>
              <w:ind w:left="142"/>
              <w:jc w:val="left"/>
              <w:rPr>
                <w:b/>
                <w:szCs w:val="24"/>
              </w:rPr>
            </w:pPr>
            <w:r>
              <w:rPr>
                <w:b/>
                <w:szCs w:val="24"/>
              </w:rPr>
              <w:t>Entity</w:t>
            </w:r>
          </w:p>
        </w:tc>
        <w:tc>
          <w:tcPr>
            <w:tcW w:w="3081" w:type="dxa"/>
            <w:tcBorders>
              <w:top w:val="single" w:sz="4" w:space="0" w:color="000000"/>
            </w:tcBorders>
            <w:shd w:val="clear" w:color="auto" w:fill="FFFFFF"/>
          </w:tcPr>
          <w:p w:rsidR="008E5DA0" w:rsidRDefault="00ED4D36">
            <w:pPr>
              <w:keepNext/>
              <w:spacing w:before="240" w:after="120"/>
              <w:ind w:left="142"/>
              <w:jc w:val="left"/>
              <w:rPr>
                <w:b/>
                <w:szCs w:val="24"/>
              </w:rPr>
            </w:pPr>
            <w:r>
              <w:rPr>
                <w:b/>
                <w:szCs w:val="24"/>
              </w:rPr>
              <w:t>Credit rating (long term)</w:t>
            </w:r>
          </w:p>
        </w:tc>
      </w:tr>
      <w:tr w:rsidR="008E5DA0">
        <w:tc>
          <w:tcPr>
            <w:tcW w:w="3080" w:type="dxa"/>
            <w:shd w:val="clear" w:color="auto" w:fill="FFFFFF"/>
          </w:tcPr>
          <w:p w:rsidR="008E5DA0" w:rsidRDefault="00ED4D36">
            <w:pPr>
              <w:keepNext/>
              <w:spacing w:before="240" w:after="120"/>
              <w:ind w:left="142"/>
              <w:jc w:val="left"/>
              <w:rPr>
                <w:szCs w:val="24"/>
              </w:rPr>
            </w:pPr>
            <w:r>
              <w:rPr>
                <w:szCs w:val="24"/>
              </w:rPr>
              <w:t>Supplier</w:t>
            </w:r>
          </w:p>
        </w:tc>
        <w:tc>
          <w:tcPr>
            <w:tcW w:w="3081" w:type="dxa"/>
            <w:shd w:val="clear" w:color="auto" w:fill="FFFFFF"/>
          </w:tcPr>
          <w:p w:rsidR="008E5DA0" w:rsidRDefault="00ED4D36">
            <w:pPr>
              <w:keepNext/>
              <w:spacing w:before="240" w:after="120"/>
              <w:ind w:left="142"/>
              <w:jc w:val="left"/>
              <w:rPr>
                <w:szCs w:val="24"/>
              </w:rPr>
            </w:pPr>
            <w:r>
              <w:rPr>
                <w:szCs w:val="24"/>
              </w:rPr>
              <w:t>[40]</w:t>
            </w:r>
          </w:p>
        </w:tc>
      </w:tr>
      <w:tr w:rsidR="008E5DA0">
        <w:tc>
          <w:tcPr>
            <w:tcW w:w="3080" w:type="dxa"/>
            <w:shd w:val="clear" w:color="auto" w:fill="FFFFFF"/>
          </w:tcPr>
          <w:p w:rsidR="008E5DA0" w:rsidRDefault="00ED4D36">
            <w:pPr>
              <w:keepNext/>
              <w:spacing w:before="240" w:after="120"/>
              <w:ind w:left="142"/>
              <w:jc w:val="left"/>
              <w:rPr>
                <w:strike/>
                <w:szCs w:val="24"/>
              </w:rPr>
            </w:pPr>
            <w:r>
              <w:rPr>
                <w:strike/>
                <w:szCs w:val="24"/>
              </w:rPr>
              <w:t>[Guarantor]</w:t>
            </w:r>
          </w:p>
        </w:tc>
        <w:tc>
          <w:tcPr>
            <w:tcW w:w="3081" w:type="dxa"/>
            <w:shd w:val="clear" w:color="auto" w:fill="FFFFFF"/>
          </w:tcPr>
          <w:p w:rsidR="008E5DA0" w:rsidRDefault="00ED4D36">
            <w:pPr>
              <w:keepNext/>
              <w:spacing w:before="240" w:after="120"/>
              <w:ind w:left="142"/>
              <w:jc w:val="left"/>
              <w:rPr>
                <w:strike/>
                <w:szCs w:val="24"/>
              </w:rPr>
            </w:pPr>
            <w:r>
              <w:rPr>
                <w:strike/>
                <w:szCs w:val="24"/>
              </w:rPr>
              <w:t>[40]</w:t>
            </w:r>
          </w:p>
        </w:tc>
      </w:tr>
      <w:tr w:rsidR="008E5DA0">
        <w:tc>
          <w:tcPr>
            <w:tcW w:w="3080" w:type="dxa"/>
            <w:tcBorders>
              <w:bottom w:val="single" w:sz="4" w:space="0" w:color="000000"/>
            </w:tcBorders>
            <w:shd w:val="clear" w:color="auto" w:fill="FFFFFF"/>
          </w:tcPr>
          <w:p w:rsidR="008E5DA0" w:rsidRDefault="00ED4D36">
            <w:pPr>
              <w:keepNext/>
              <w:spacing w:before="240" w:after="120"/>
              <w:ind w:left="142"/>
              <w:jc w:val="left"/>
              <w:rPr>
                <w:strike/>
                <w:szCs w:val="24"/>
              </w:rPr>
            </w:pPr>
            <w:r>
              <w:rPr>
                <w:strike/>
                <w:szCs w:val="24"/>
              </w:rPr>
              <w:t>[Key Subcontractor]</w:t>
            </w:r>
          </w:p>
        </w:tc>
        <w:tc>
          <w:tcPr>
            <w:tcW w:w="3081" w:type="dxa"/>
            <w:tcBorders>
              <w:bottom w:val="single" w:sz="4" w:space="0" w:color="000000"/>
            </w:tcBorders>
            <w:shd w:val="clear" w:color="auto" w:fill="FFFFFF"/>
          </w:tcPr>
          <w:p w:rsidR="008E5DA0" w:rsidRDefault="00ED4D36">
            <w:pPr>
              <w:keepNext/>
              <w:spacing w:before="240" w:after="120"/>
              <w:ind w:left="142"/>
              <w:jc w:val="left"/>
              <w:rPr>
                <w:strike/>
                <w:szCs w:val="24"/>
              </w:rPr>
            </w:pPr>
            <w:r>
              <w:rPr>
                <w:strike/>
                <w:szCs w:val="24"/>
              </w:rPr>
              <w:t>[40]</w:t>
            </w:r>
          </w:p>
        </w:tc>
      </w:tr>
    </w:tbl>
    <w:p w:rsidR="008E5DA0" w:rsidRDefault="008E5DA0">
      <w:pPr>
        <w:spacing w:after="0"/>
        <w:rPr>
          <w:b/>
          <w:i/>
          <w:smallCaps/>
        </w:rPr>
      </w:pPr>
    </w:p>
    <w:p w:rsidR="008E5DA0" w:rsidRDefault="00ED4D36">
      <w:pPr>
        <w:spacing w:after="200" w:line="276" w:lineRule="auto"/>
        <w:jc w:val="left"/>
        <w:rPr>
          <w:b/>
          <w:smallCaps/>
        </w:rPr>
      </w:pPr>
      <w:r>
        <w:rPr>
          <w:b/>
          <w:smallCaps/>
        </w:rPr>
        <w:t>PART B: NOT USED</w:t>
      </w:r>
    </w:p>
    <w:p w:rsidR="008E5DA0" w:rsidRDefault="008E5DA0">
      <w:pPr>
        <w:spacing w:after="200" w:line="276" w:lineRule="auto"/>
        <w:jc w:val="left"/>
        <w:rPr>
          <w:b/>
          <w:i/>
          <w:smallCaps/>
        </w:rPr>
      </w:pPr>
    </w:p>
    <w:p w:rsidR="008E5DA0" w:rsidRDefault="00ED4D36">
      <w:pPr>
        <w:spacing w:after="200" w:line="276" w:lineRule="auto"/>
        <w:jc w:val="left"/>
        <w:rPr>
          <w:b/>
          <w:smallCaps/>
          <w:color w:val="FF0000"/>
        </w:rPr>
      </w:pPr>
      <w:r>
        <w:rPr>
          <w:b/>
          <w:smallCaps/>
          <w:color w:val="FF0000"/>
        </w:rPr>
        <w:t>ANNEX 3: NOT USED</w:t>
      </w: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8E5DA0">
      <w:pPr>
        <w:spacing w:after="200" w:line="276" w:lineRule="auto"/>
        <w:jc w:val="left"/>
        <w:rPr>
          <w:b/>
          <w:i/>
          <w:smallCaps/>
        </w:rPr>
      </w:pPr>
    </w:p>
    <w:p w:rsidR="008E5DA0" w:rsidRDefault="00ED4D36">
      <w:pPr>
        <w:spacing w:after="200" w:line="276" w:lineRule="auto"/>
        <w:jc w:val="left"/>
        <w:rPr>
          <w:b/>
          <w:smallCaps/>
          <w:color w:val="FF0000"/>
        </w:rPr>
      </w:pPr>
      <w:r>
        <w:rPr>
          <w:b/>
          <w:smallCaps/>
          <w:color w:val="FF0000"/>
        </w:rPr>
        <w:lastRenderedPageBreak/>
        <w:t>ANNEX 4</w:t>
      </w:r>
    </w:p>
    <w:p w:rsidR="008E5DA0" w:rsidRDefault="00ED4D36">
      <w:pPr>
        <w:spacing w:after="200" w:line="276" w:lineRule="auto"/>
        <w:jc w:val="left"/>
        <w:rPr>
          <w:b/>
        </w:rPr>
      </w:pPr>
      <w:bookmarkStart w:id="37" w:name="bookmark=id.1v1yuxt" w:colFirst="0" w:colLast="0"/>
      <w:bookmarkEnd w:id="37"/>
      <w:r>
        <w:rPr>
          <w:b/>
        </w:rPr>
        <w:t>Financial Indicators</w:t>
      </w:r>
    </w:p>
    <w:p w:rsidR="008E5DA0" w:rsidRDefault="008E5DA0">
      <w:pPr>
        <w:keepNext/>
        <w:keepLines/>
        <w:spacing w:after="0"/>
      </w:pPr>
    </w:p>
    <w:tbl>
      <w:tblPr>
        <w:tblStyle w:val="ae"/>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8E5DA0">
        <w:trPr>
          <w:tblHeader/>
        </w:trPr>
        <w:tc>
          <w:tcPr>
            <w:tcW w:w="2253" w:type="dxa"/>
            <w:shd w:val="clear" w:color="auto" w:fill="D9D9D9"/>
            <w:vAlign w:val="center"/>
          </w:tcPr>
          <w:p w:rsidR="008E5DA0" w:rsidRDefault="00ED4D36">
            <w:pPr>
              <w:keepNext/>
              <w:keepLines/>
              <w:pBdr>
                <w:top w:val="nil"/>
                <w:left w:val="nil"/>
                <w:bottom w:val="nil"/>
                <w:right w:val="nil"/>
                <w:between w:val="nil"/>
              </w:pBdr>
              <w:spacing w:before="100" w:after="200"/>
              <w:jc w:val="center"/>
              <w:rPr>
                <w:b/>
                <w:color w:val="000000"/>
              </w:rPr>
            </w:pPr>
            <w:r>
              <w:rPr>
                <w:b/>
                <w:color w:val="000000"/>
              </w:rPr>
              <w:t>Financial Indicator</w:t>
            </w:r>
          </w:p>
        </w:tc>
        <w:tc>
          <w:tcPr>
            <w:tcW w:w="1977" w:type="dxa"/>
            <w:shd w:val="clear" w:color="auto" w:fill="D9D9D9"/>
            <w:vAlign w:val="center"/>
          </w:tcPr>
          <w:p w:rsidR="008E5DA0" w:rsidRDefault="00ED4D36">
            <w:pPr>
              <w:keepNext/>
              <w:keepLines/>
              <w:pBdr>
                <w:top w:val="nil"/>
                <w:left w:val="nil"/>
                <w:bottom w:val="nil"/>
                <w:right w:val="nil"/>
                <w:between w:val="nil"/>
              </w:pBdr>
              <w:spacing w:before="100" w:after="200"/>
              <w:jc w:val="center"/>
              <w:rPr>
                <w:b/>
                <w:color w:val="000000"/>
              </w:rPr>
            </w:pPr>
            <w:r>
              <w:rPr>
                <w:b/>
                <w:color w:val="000000"/>
              </w:rPr>
              <w:t>Calculation</w:t>
            </w:r>
            <w:r>
              <w:rPr>
                <w:b/>
                <w:color w:val="000000"/>
                <w:vertAlign w:val="superscript"/>
              </w:rPr>
              <w:t>1</w:t>
            </w:r>
          </w:p>
        </w:tc>
        <w:tc>
          <w:tcPr>
            <w:tcW w:w="1697" w:type="dxa"/>
            <w:shd w:val="clear" w:color="auto" w:fill="D9D9D9"/>
            <w:vAlign w:val="center"/>
          </w:tcPr>
          <w:p w:rsidR="008E5DA0" w:rsidRDefault="00ED4D36">
            <w:pPr>
              <w:keepNext/>
              <w:keepLines/>
              <w:pBdr>
                <w:top w:val="nil"/>
                <w:left w:val="nil"/>
                <w:bottom w:val="nil"/>
                <w:right w:val="nil"/>
                <w:between w:val="nil"/>
              </w:pBdr>
              <w:spacing w:before="100" w:after="200"/>
              <w:jc w:val="center"/>
              <w:rPr>
                <w:b/>
                <w:color w:val="000000"/>
              </w:rPr>
            </w:pPr>
            <w:r>
              <w:rPr>
                <w:b/>
                <w:color w:val="000000"/>
              </w:rPr>
              <w:t>Financial Target Threshold:</w:t>
            </w:r>
          </w:p>
        </w:tc>
        <w:tc>
          <w:tcPr>
            <w:tcW w:w="3089" w:type="dxa"/>
            <w:shd w:val="clear" w:color="auto" w:fill="D9D9D9"/>
            <w:vAlign w:val="center"/>
          </w:tcPr>
          <w:p w:rsidR="008E5DA0" w:rsidRDefault="00ED4D36">
            <w:pPr>
              <w:keepNext/>
              <w:keepLines/>
              <w:pBdr>
                <w:top w:val="nil"/>
                <w:left w:val="nil"/>
                <w:bottom w:val="nil"/>
                <w:right w:val="nil"/>
                <w:between w:val="nil"/>
              </w:pBdr>
              <w:spacing w:before="100" w:after="200"/>
              <w:jc w:val="center"/>
              <w:rPr>
                <w:b/>
                <w:color w:val="000000"/>
              </w:rPr>
            </w:pPr>
            <w:bookmarkStart w:id="38" w:name="_heading=h.23ckvvd" w:colFirst="0" w:colLast="0"/>
            <w:bookmarkEnd w:id="38"/>
            <w:r>
              <w:rPr>
                <w:b/>
                <w:color w:val="000000"/>
              </w:rPr>
              <w:t xml:space="preserve">Monitoring and Reporting Frequency </w:t>
            </w:r>
          </w:p>
        </w:tc>
      </w:tr>
      <w:tr w:rsidR="008E5DA0">
        <w:tc>
          <w:tcPr>
            <w:tcW w:w="2253" w:type="dxa"/>
            <w:vAlign w:val="center"/>
          </w:tcPr>
          <w:p w:rsidR="008E5DA0" w:rsidRDefault="00ED4D36">
            <w:pPr>
              <w:keepNext/>
              <w:keepLines/>
              <w:pBdr>
                <w:top w:val="nil"/>
                <w:left w:val="nil"/>
                <w:bottom w:val="nil"/>
                <w:right w:val="nil"/>
                <w:between w:val="nil"/>
              </w:pBdr>
              <w:spacing w:before="100" w:after="200"/>
              <w:jc w:val="left"/>
              <w:rPr>
                <w:b/>
                <w:color w:val="000000"/>
              </w:rPr>
            </w:pPr>
            <w:r>
              <w:rPr>
                <w:b/>
                <w:color w:val="000000"/>
              </w:rPr>
              <w:t>1</w:t>
            </w:r>
          </w:p>
          <w:p w:rsidR="008E5DA0" w:rsidRDefault="00ED4D36">
            <w:pPr>
              <w:keepNext/>
              <w:keepLines/>
              <w:pBdr>
                <w:top w:val="nil"/>
                <w:left w:val="nil"/>
                <w:bottom w:val="nil"/>
                <w:right w:val="nil"/>
                <w:between w:val="nil"/>
              </w:pBdr>
              <w:spacing w:before="100" w:after="200"/>
              <w:jc w:val="left"/>
              <w:rPr>
                <w:b/>
                <w:color w:val="000000"/>
              </w:rPr>
            </w:pPr>
            <w:r>
              <w:rPr>
                <w:b/>
                <w:color w:val="000000"/>
              </w:rPr>
              <w:t>Operating Margin</w:t>
            </w:r>
          </w:p>
          <w:p w:rsidR="008E5DA0" w:rsidRDefault="008E5DA0">
            <w:pPr>
              <w:keepNext/>
              <w:keepLines/>
              <w:pBdr>
                <w:top w:val="nil"/>
                <w:left w:val="nil"/>
                <w:bottom w:val="nil"/>
                <w:right w:val="nil"/>
                <w:between w:val="nil"/>
              </w:pBdr>
              <w:spacing w:before="100" w:after="200"/>
              <w:jc w:val="left"/>
              <w:rPr>
                <w:b/>
                <w:color w:val="000000"/>
              </w:rPr>
            </w:pPr>
          </w:p>
        </w:tc>
        <w:tc>
          <w:tcPr>
            <w:tcW w:w="1977" w:type="dxa"/>
            <w:vAlign w:val="center"/>
          </w:tcPr>
          <w:p w:rsidR="008E5DA0" w:rsidRDefault="00ED4D36">
            <w:pPr>
              <w:keepNext/>
              <w:keepLines/>
              <w:pBdr>
                <w:top w:val="nil"/>
                <w:left w:val="nil"/>
                <w:bottom w:val="nil"/>
                <w:right w:val="nil"/>
                <w:between w:val="nil"/>
              </w:pBdr>
              <w:spacing w:before="100" w:after="200"/>
              <w:jc w:val="center"/>
              <w:rPr>
                <w:i/>
                <w:color w:val="000000"/>
              </w:rPr>
            </w:pPr>
            <w:r>
              <w:rPr>
                <w:i/>
                <w:color w:val="000000"/>
              </w:rPr>
              <w:t>Operating Margin = Operating Profit / Revenue</w:t>
            </w:r>
          </w:p>
        </w:tc>
        <w:tc>
          <w:tcPr>
            <w:tcW w:w="1697" w:type="dxa"/>
            <w:vAlign w:val="center"/>
          </w:tcPr>
          <w:p w:rsidR="00A4728D" w:rsidRDefault="00A4728D" w:rsidP="00A4728D">
            <w:pPr>
              <w:spacing w:before="120"/>
              <w:ind w:left="142"/>
              <w:jc w:val="center"/>
              <w:rPr>
                <w:rFonts w:eastAsia="Arial"/>
                <w:color w:val="000000"/>
              </w:rPr>
            </w:pPr>
            <w:r>
              <w:rPr>
                <w:rFonts w:eastAsia="Arial"/>
                <w:color w:val="000000"/>
              </w:rPr>
              <w:t>Redacted under FOIA section 43, Commercial Interests</w:t>
            </w:r>
          </w:p>
          <w:p w:rsidR="008E5DA0" w:rsidRDefault="008E5DA0">
            <w:pPr>
              <w:keepNext/>
              <w:keepLines/>
              <w:spacing w:before="100" w:after="200"/>
              <w:jc w:val="center"/>
              <w:rPr>
                <w:i/>
                <w:color w:val="000000"/>
                <w:highlight w:val="yellow"/>
              </w:rPr>
            </w:pPr>
          </w:p>
        </w:tc>
        <w:tc>
          <w:tcPr>
            <w:tcW w:w="3089" w:type="dxa"/>
            <w:vAlign w:val="center"/>
          </w:tcPr>
          <w:p w:rsidR="008E5DA0" w:rsidRDefault="00ED4D36">
            <w:pPr>
              <w:keepNext/>
              <w:keepLines/>
              <w:spacing w:before="100" w:after="200"/>
              <w:jc w:val="center"/>
              <w:rPr>
                <w:i/>
                <w:color w:val="000000"/>
              </w:rPr>
            </w:pPr>
            <w:r>
              <w:rPr>
                <w:i/>
              </w:rPr>
              <w:t>Tested and reported yearly in arrears within 90 days of each accounting reference date based upon figures for the 12 months ending on the relevant accounting reference date</w:t>
            </w:r>
          </w:p>
        </w:tc>
      </w:tr>
      <w:tr w:rsidR="008E5DA0">
        <w:tc>
          <w:tcPr>
            <w:tcW w:w="2253" w:type="dxa"/>
            <w:vAlign w:val="center"/>
          </w:tcPr>
          <w:p w:rsidR="008E5DA0" w:rsidRDefault="00ED4D36">
            <w:pPr>
              <w:pBdr>
                <w:top w:val="nil"/>
                <w:left w:val="nil"/>
                <w:bottom w:val="nil"/>
                <w:right w:val="nil"/>
                <w:between w:val="nil"/>
              </w:pBdr>
              <w:spacing w:before="100" w:after="200"/>
              <w:jc w:val="left"/>
              <w:rPr>
                <w:b/>
                <w:color w:val="000000"/>
              </w:rPr>
            </w:pPr>
            <w:r>
              <w:rPr>
                <w:b/>
                <w:color w:val="000000"/>
              </w:rPr>
              <w:t>2</w:t>
            </w:r>
          </w:p>
          <w:p w:rsidR="008E5DA0" w:rsidRDefault="00ED4D36">
            <w:pPr>
              <w:pBdr>
                <w:top w:val="nil"/>
                <w:left w:val="nil"/>
                <w:bottom w:val="nil"/>
                <w:right w:val="nil"/>
                <w:between w:val="nil"/>
              </w:pBdr>
              <w:spacing w:before="100" w:after="200"/>
              <w:jc w:val="left"/>
              <w:rPr>
                <w:b/>
                <w:color w:val="000000"/>
              </w:rPr>
            </w:pPr>
            <w:r>
              <w:rPr>
                <w:b/>
                <w:color w:val="000000"/>
              </w:rPr>
              <w:t>Net Debt to EBITDA Ratio</w:t>
            </w:r>
          </w:p>
        </w:tc>
        <w:tc>
          <w:tcPr>
            <w:tcW w:w="1977" w:type="dxa"/>
            <w:vAlign w:val="center"/>
          </w:tcPr>
          <w:p w:rsidR="008E5DA0" w:rsidRDefault="00ED4D36">
            <w:pPr>
              <w:pBdr>
                <w:top w:val="nil"/>
                <w:left w:val="nil"/>
                <w:bottom w:val="nil"/>
                <w:right w:val="nil"/>
                <w:between w:val="nil"/>
              </w:pBdr>
              <w:spacing w:before="100" w:after="200"/>
              <w:jc w:val="center"/>
              <w:rPr>
                <w:i/>
                <w:color w:val="000000"/>
              </w:rPr>
            </w:pPr>
            <w:r>
              <w:rPr>
                <w:i/>
                <w:color w:val="000000"/>
              </w:rPr>
              <w:t>Net Debt to EBITDA ratio = Net Debt / EBITDA</w:t>
            </w:r>
          </w:p>
        </w:tc>
        <w:tc>
          <w:tcPr>
            <w:tcW w:w="1697" w:type="dxa"/>
            <w:vAlign w:val="center"/>
          </w:tcPr>
          <w:p w:rsidR="00A4728D" w:rsidRDefault="00A4728D" w:rsidP="00A4728D">
            <w:pPr>
              <w:spacing w:before="120"/>
              <w:ind w:left="142"/>
              <w:jc w:val="center"/>
              <w:rPr>
                <w:rFonts w:eastAsia="Arial"/>
                <w:color w:val="000000"/>
              </w:rPr>
            </w:pPr>
            <w:r>
              <w:rPr>
                <w:rFonts w:eastAsia="Arial"/>
                <w:color w:val="000000"/>
              </w:rPr>
              <w:t>Redacted under FOIA section 43, Commercial Interests</w:t>
            </w:r>
          </w:p>
          <w:p w:rsidR="008E5DA0" w:rsidRDefault="008E5DA0">
            <w:pPr>
              <w:spacing w:before="100" w:after="200"/>
              <w:jc w:val="center"/>
              <w:rPr>
                <w:i/>
                <w:color w:val="000000"/>
              </w:rPr>
            </w:pPr>
          </w:p>
        </w:tc>
        <w:tc>
          <w:tcPr>
            <w:tcW w:w="3089" w:type="dxa"/>
            <w:vAlign w:val="center"/>
          </w:tcPr>
          <w:p w:rsidR="008E5DA0" w:rsidRDefault="00ED4D36">
            <w:pPr>
              <w:spacing w:before="100" w:after="200"/>
              <w:jc w:val="center"/>
              <w:rPr>
                <w:i/>
                <w:color w:val="000000"/>
              </w:rPr>
            </w:pPr>
            <w:r>
              <w:rPr>
                <w:i/>
              </w:rPr>
              <w:t>Tested and reported yearly in arrears within 90 days of each accounting reference date based upon EBITDA for the 12 months ending on, and Net Debt at, the relevant accounting reference date</w:t>
            </w:r>
          </w:p>
        </w:tc>
      </w:tr>
      <w:tr w:rsidR="008E5DA0">
        <w:tc>
          <w:tcPr>
            <w:tcW w:w="2253" w:type="dxa"/>
            <w:vAlign w:val="center"/>
          </w:tcPr>
          <w:p w:rsidR="008E5DA0" w:rsidRDefault="00ED4D36">
            <w:pPr>
              <w:pBdr>
                <w:top w:val="nil"/>
                <w:left w:val="nil"/>
                <w:bottom w:val="nil"/>
                <w:right w:val="nil"/>
                <w:between w:val="nil"/>
              </w:pBdr>
              <w:spacing w:before="100" w:after="200"/>
              <w:jc w:val="left"/>
              <w:rPr>
                <w:b/>
                <w:color w:val="000000"/>
              </w:rPr>
            </w:pPr>
            <w:r>
              <w:rPr>
                <w:b/>
                <w:color w:val="000000"/>
              </w:rPr>
              <w:t>3</w:t>
            </w:r>
          </w:p>
          <w:p w:rsidR="008E5DA0" w:rsidRDefault="00ED4D36">
            <w:pPr>
              <w:pBdr>
                <w:top w:val="nil"/>
                <w:left w:val="nil"/>
                <w:bottom w:val="nil"/>
                <w:right w:val="nil"/>
                <w:between w:val="nil"/>
              </w:pBdr>
              <w:spacing w:before="100" w:after="200"/>
              <w:jc w:val="left"/>
              <w:rPr>
                <w:b/>
                <w:color w:val="000000"/>
              </w:rPr>
            </w:pPr>
            <w:r>
              <w:rPr>
                <w:b/>
                <w:color w:val="000000"/>
              </w:rPr>
              <w:t>Net Debt + Net Pension Deficit to EBITDA ratio</w:t>
            </w:r>
          </w:p>
        </w:tc>
        <w:tc>
          <w:tcPr>
            <w:tcW w:w="1977" w:type="dxa"/>
            <w:vAlign w:val="center"/>
          </w:tcPr>
          <w:p w:rsidR="008E5DA0" w:rsidRDefault="00ED4D36">
            <w:pPr>
              <w:pBdr>
                <w:top w:val="nil"/>
                <w:left w:val="nil"/>
                <w:bottom w:val="nil"/>
                <w:right w:val="nil"/>
                <w:between w:val="nil"/>
              </w:pBdr>
              <w:spacing w:before="100" w:after="200"/>
              <w:jc w:val="center"/>
              <w:rPr>
                <w:i/>
                <w:color w:val="000000"/>
              </w:rPr>
            </w:pPr>
            <w:r>
              <w:rPr>
                <w:i/>
                <w:color w:val="000000"/>
              </w:rPr>
              <w:t>Net Debt + Net P</w:t>
            </w:r>
            <w:r>
              <w:rPr>
                <w:i/>
                <w:color w:val="000000"/>
              </w:rPr>
              <w:t>ension Deficit to EBITDA Ratio = (Net Debt + Net Pension Deficit) / EBITDA</w:t>
            </w:r>
          </w:p>
        </w:tc>
        <w:tc>
          <w:tcPr>
            <w:tcW w:w="1697" w:type="dxa"/>
            <w:vAlign w:val="center"/>
          </w:tcPr>
          <w:p w:rsidR="00A4728D" w:rsidRDefault="00A4728D" w:rsidP="00A4728D">
            <w:pPr>
              <w:spacing w:before="120"/>
              <w:ind w:left="142"/>
              <w:jc w:val="center"/>
              <w:rPr>
                <w:rFonts w:eastAsia="Arial"/>
                <w:color w:val="000000"/>
              </w:rPr>
            </w:pPr>
            <w:r>
              <w:rPr>
                <w:rFonts w:eastAsia="Arial"/>
                <w:color w:val="000000"/>
              </w:rPr>
              <w:t>Redacted under FOIA section 43, Commercial Interests</w:t>
            </w:r>
          </w:p>
          <w:p w:rsidR="008E5DA0" w:rsidRDefault="008E5DA0">
            <w:pPr>
              <w:spacing w:before="100" w:after="200"/>
              <w:jc w:val="center"/>
              <w:rPr>
                <w:i/>
                <w:color w:val="000000"/>
              </w:rPr>
            </w:pPr>
          </w:p>
        </w:tc>
        <w:tc>
          <w:tcPr>
            <w:tcW w:w="3089" w:type="dxa"/>
            <w:vAlign w:val="center"/>
          </w:tcPr>
          <w:p w:rsidR="008E5DA0" w:rsidRDefault="00ED4D36">
            <w:pPr>
              <w:spacing w:before="100" w:after="200"/>
              <w:jc w:val="center"/>
              <w:rPr>
                <w:i/>
                <w:color w:val="000000"/>
              </w:rPr>
            </w:pPr>
            <w:r>
              <w:rPr>
                <w:i/>
              </w:rPr>
              <w:t>Tested and reported yearly in arrears within 90 days of each accounting reference date based upon EBITDA for the 12 months ending on, and the Net Debt and Net Pension Deficit at, the relevant accounting reference date</w:t>
            </w:r>
          </w:p>
        </w:tc>
      </w:tr>
      <w:tr w:rsidR="008E5DA0">
        <w:tc>
          <w:tcPr>
            <w:tcW w:w="2253" w:type="dxa"/>
            <w:vAlign w:val="center"/>
          </w:tcPr>
          <w:p w:rsidR="008E5DA0" w:rsidRDefault="00ED4D36">
            <w:pPr>
              <w:keepNext/>
              <w:keepLines/>
              <w:pBdr>
                <w:top w:val="nil"/>
                <w:left w:val="nil"/>
                <w:bottom w:val="nil"/>
                <w:right w:val="nil"/>
                <w:between w:val="nil"/>
              </w:pBdr>
              <w:spacing w:before="100" w:after="200"/>
              <w:jc w:val="left"/>
              <w:rPr>
                <w:b/>
                <w:color w:val="000000"/>
              </w:rPr>
            </w:pPr>
            <w:r>
              <w:rPr>
                <w:b/>
                <w:color w:val="000000"/>
              </w:rPr>
              <w:t>4</w:t>
            </w:r>
          </w:p>
          <w:p w:rsidR="008E5DA0" w:rsidRDefault="00ED4D36">
            <w:pPr>
              <w:pBdr>
                <w:top w:val="nil"/>
                <w:left w:val="nil"/>
                <w:bottom w:val="nil"/>
                <w:right w:val="nil"/>
                <w:between w:val="nil"/>
              </w:pBdr>
              <w:spacing w:before="100" w:after="200"/>
              <w:jc w:val="left"/>
              <w:rPr>
                <w:b/>
                <w:color w:val="000000"/>
              </w:rPr>
            </w:pPr>
            <w:r>
              <w:rPr>
                <w:b/>
                <w:color w:val="000000"/>
              </w:rPr>
              <w:t>Net Interest Paid Cover</w:t>
            </w:r>
          </w:p>
        </w:tc>
        <w:tc>
          <w:tcPr>
            <w:tcW w:w="1977" w:type="dxa"/>
            <w:vAlign w:val="center"/>
          </w:tcPr>
          <w:p w:rsidR="008E5DA0" w:rsidRDefault="00ED4D36">
            <w:pPr>
              <w:pBdr>
                <w:top w:val="nil"/>
                <w:left w:val="nil"/>
                <w:bottom w:val="nil"/>
                <w:right w:val="nil"/>
                <w:between w:val="nil"/>
              </w:pBdr>
              <w:spacing w:before="100" w:after="200"/>
              <w:jc w:val="center"/>
              <w:rPr>
                <w:i/>
                <w:color w:val="000000"/>
              </w:rPr>
            </w:pPr>
            <w:r>
              <w:rPr>
                <w:i/>
                <w:color w:val="000000"/>
              </w:rPr>
              <w:t>Net Interest Paid Cover = Earnings Before Interest and Tax / Net Interest Paid</w:t>
            </w:r>
          </w:p>
        </w:tc>
        <w:tc>
          <w:tcPr>
            <w:tcW w:w="1697" w:type="dxa"/>
            <w:vAlign w:val="center"/>
          </w:tcPr>
          <w:p w:rsidR="00A4728D" w:rsidRDefault="00A4728D" w:rsidP="00A4728D">
            <w:pPr>
              <w:spacing w:before="120"/>
              <w:ind w:left="142"/>
              <w:jc w:val="center"/>
              <w:rPr>
                <w:rFonts w:eastAsia="Arial"/>
                <w:color w:val="000000"/>
              </w:rPr>
            </w:pPr>
            <w:r>
              <w:rPr>
                <w:rFonts w:eastAsia="Arial"/>
                <w:color w:val="000000"/>
              </w:rPr>
              <w:t>Redacted under FOIA section 43, Commercial Interests</w:t>
            </w:r>
          </w:p>
          <w:p w:rsidR="008E5DA0" w:rsidRDefault="008E5DA0">
            <w:pPr>
              <w:spacing w:before="100" w:after="200"/>
              <w:jc w:val="center"/>
              <w:rPr>
                <w:i/>
                <w:color w:val="000000"/>
              </w:rPr>
            </w:pPr>
          </w:p>
        </w:tc>
        <w:tc>
          <w:tcPr>
            <w:tcW w:w="3089" w:type="dxa"/>
            <w:vAlign w:val="center"/>
          </w:tcPr>
          <w:p w:rsidR="008E5DA0" w:rsidRDefault="00ED4D36">
            <w:pPr>
              <w:spacing w:before="100" w:after="200"/>
              <w:jc w:val="center"/>
              <w:rPr>
                <w:i/>
                <w:color w:val="000000"/>
              </w:rPr>
            </w:pPr>
            <w:r>
              <w:rPr>
                <w:i/>
              </w:rPr>
              <w:t>Tested and reported yearly in arrears within 90 days of each accounting reference date based upon figures for the 12 months ending on the relevant accounting reference</w:t>
            </w:r>
            <w:r>
              <w:rPr>
                <w:i/>
              </w:rPr>
              <w:t xml:space="preserve"> date</w:t>
            </w:r>
          </w:p>
        </w:tc>
      </w:tr>
      <w:tr w:rsidR="008E5DA0">
        <w:tc>
          <w:tcPr>
            <w:tcW w:w="2253" w:type="dxa"/>
            <w:vAlign w:val="center"/>
          </w:tcPr>
          <w:p w:rsidR="008E5DA0" w:rsidRDefault="00ED4D36">
            <w:pPr>
              <w:pBdr>
                <w:top w:val="nil"/>
                <w:left w:val="nil"/>
                <w:bottom w:val="nil"/>
                <w:right w:val="nil"/>
                <w:between w:val="nil"/>
              </w:pBdr>
              <w:spacing w:before="100" w:after="200"/>
              <w:jc w:val="left"/>
              <w:rPr>
                <w:b/>
                <w:color w:val="000000"/>
              </w:rPr>
            </w:pPr>
            <w:r>
              <w:rPr>
                <w:b/>
                <w:color w:val="000000"/>
              </w:rPr>
              <w:t>5</w:t>
            </w:r>
          </w:p>
          <w:p w:rsidR="008E5DA0" w:rsidRDefault="00ED4D36">
            <w:pPr>
              <w:pBdr>
                <w:top w:val="nil"/>
                <w:left w:val="nil"/>
                <w:bottom w:val="nil"/>
                <w:right w:val="nil"/>
                <w:between w:val="nil"/>
              </w:pBdr>
              <w:spacing w:before="100" w:after="200"/>
              <w:jc w:val="left"/>
              <w:rPr>
                <w:b/>
                <w:color w:val="000000"/>
              </w:rPr>
            </w:pPr>
            <w:r>
              <w:rPr>
                <w:b/>
                <w:color w:val="000000"/>
              </w:rPr>
              <w:t>Acid Ratio</w:t>
            </w:r>
          </w:p>
        </w:tc>
        <w:tc>
          <w:tcPr>
            <w:tcW w:w="1977" w:type="dxa"/>
            <w:vAlign w:val="center"/>
          </w:tcPr>
          <w:p w:rsidR="008E5DA0" w:rsidRDefault="00ED4D36">
            <w:pPr>
              <w:pBdr>
                <w:top w:val="nil"/>
                <w:left w:val="nil"/>
                <w:bottom w:val="nil"/>
                <w:right w:val="nil"/>
                <w:between w:val="nil"/>
              </w:pBdr>
              <w:spacing w:before="100" w:after="200"/>
              <w:jc w:val="center"/>
              <w:rPr>
                <w:i/>
                <w:color w:val="000000"/>
              </w:rPr>
            </w:pPr>
            <w:r>
              <w:rPr>
                <w:i/>
                <w:color w:val="000000"/>
              </w:rPr>
              <w:t xml:space="preserve">Acid Ratio = (Current Assets – Inventories) / </w:t>
            </w:r>
            <w:r>
              <w:rPr>
                <w:i/>
                <w:color w:val="000000"/>
              </w:rPr>
              <w:lastRenderedPageBreak/>
              <w:t>Current Liabilities</w:t>
            </w:r>
          </w:p>
        </w:tc>
        <w:tc>
          <w:tcPr>
            <w:tcW w:w="1697" w:type="dxa"/>
            <w:vAlign w:val="center"/>
          </w:tcPr>
          <w:p w:rsidR="00A4728D" w:rsidRDefault="00A4728D" w:rsidP="00A4728D">
            <w:pPr>
              <w:spacing w:before="120"/>
              <w:ind w:left="142"/>
              <w:jc w:val="center"/>
              <w:rPr>
                <w:rFonts w:eastAsia="Arial"/>
                <w:color w:val="000000"/>
              </w:rPr>
            </w:pPr>
            <w:r>
              <w:rPr>
                <w:rFonts w:eastAsia="Arial"/>
                <w:color w:val="000000"/>
              </w:rPr>
              <w:lastRenderedPageBreak/>
              <w:t xml:space="preserve">Redacted under FOIA section 43, </w:t>
            </w:r>
            <w:r>
              <w:rPr>
                <w:rFonts w:eastAsia="Arial"/>
                <w:color w:val="000000"/>
              </w:rPr>
              <w:lastRenderedPageBreak/>
              <w:t>Commercial Interests</w:t>
            </w:r>
          </w:p>
          <w:p w:rsidR="008E5DA0" w:rsidRDefault="008E5DA0">
            <w:pPr>
              <w:spacing w:before="100" w:after="200"/>
              <w:jc w:val="center"/>
              <w:rPr>
                <w:i/>
                <w:color w:val="000000"/>
              </w:rPr>
            </w:pPr>
          </w:p>
        </w:tc>
        <w:tc>
          <w:tcPr>
            <w:tcW w:w="3089" w:type="dxa"/>
            <w:vAlign w:val="center"/>
          </w:tcPr>
          <w:p w:rsidR="008E5DA0" w:rsidRDefault="00ED4D36">
            <w:pPr>
              <w:spacing w:before="100" w:after="200"/>
              <w:jc w:val="center"/>
              <w:rPr>
                <w:i/>
                <w:color w:val="000000"/>
              </w:rPr>
            </w:pPr>
            <w:r>
              <w:rPr>
                <w:i/>
              </w:rPr>
              <w:lastRenderedPageBreak/>
              <w:t xml:space="preserve">Tested and reported yearly in arrears within 90 days of each accounting </w:t>
            </w:r>
            <w:r>
              <w:rPr>
                <w:i/>
              </w:rPr>
              <w:lastRenderedPageBreak/>
              <w:t>reference date based upon figures at the relevant accounting reference date</w:t>
            </w:r>
          </w:p>
        </w:tc>
      </w:tr>
      <w:tr w:rsidR="008E5DA0">
        <w:tc>
          <w:tcPr>
            <w:tcW w:w="2253" w:type="dxa"/>
            <w:vAlign w:val="center"/>
          </w:tcPr>
          <w:p w:rsidR="008E5DA0" w:rsidRDefault="00ED4D36">
            <w:pPr>
              <w:pBdr>
                <w:top w:val="nil"/>
                <w:left w:val="nil"/>
                <w:bottom w:val="nil"/>
                <w:right w:val="nil"/>
                <w:between w:val="nil"/>
              </w:pBdr>
              <w:spacing w:before="100" w:after="200"/>
              <w:jc w:val="left"/>
              <w:rPr>
                <w:b/>
                <w:color w:val="000000"/>
              </w:rPr>
            </w:pPr>
            <w:r>
              <w:rPr>
                <w:b/>
                <w:color w:val="000000"/>
              </w:rPr>
              <w:lastRenderedPageBreak/>
              <w:t>6</w:t>
            </w:r>
          </w:p>
          <w:p w:rsidR="008E5DA0" w:rsidRDefault="00ED4D36">
            <w:pPr>
              <w:pBdr>
                <w:top w:val="nil"/>
                <w:left w:val="nil"/>
                <w:bottom w:val="nil"/>
                <w:right w:val="nil"/>
                <w:between w:val="nil"/>
              </w:pBdr>
              <w:spacing w:before="100" w:after="200"/>
              <w:jc w:val="left"/>
              <w:rPr>
                <w:b/>
                <w:color w:val="000000"/>
              </w:rPr>
            </w:pPr>
            <w:r>
              <w:rPr>
                <w:b/>
                <w:color w:val="000000"/>
              </w:rPr>
              <w:t>Net Asset value</w:t>
            </w:r>
          </w:p>
        </w:tc>
        <w:tc>
          <w:tcPr>
            <w:tcW w:w="1977" w:type="dxa"/>
            <w:vAlign w:val="center"/>
          </w:tcPr>
          <w:p w:rsidR="008E5DA0" w:rsidRDefault="00ED4D36">
            <w:pPr>
              <w:pBdr>
                <w:top w:val="nil"/>
                <w:left w:val="nil"/>
                <w:bottom w:val="nil"/>
                <w:right w:val="nil"/>
                <w:between w:val="nil"/>
              </w:pBdr>
              <w:spacing w:before="100" w:after="200"/>
              <w:jc w:val="center"/>
              <w:rPr>
                <w:i/>
                <w:color w:val="000000"/>
              </w:rPr>
            </w:pPr>
            <w:r>
              <w:rPr>
                <w:i/>
                <w:color w:val="000000"/>
              </w:rPr>
              <w:t>Net Asset Value = Net Assets</w:t>
            </w:r>
          </w:p>
        </w:tc>
        <w:tc>
          <w:tcPr>
            <w:tcW w:w="1697" w:type="dxa"/>
            <w:vAlign w:val="center"/>
          </w:tcPr>
          <w:p w:rsidR="00A4728D" w:rsidRDefault="00A4728D" w:rsidP="00A4728D">
            <w:pPr>
              <w:spacing w:before="120"/>
              <w:ind w:left="142"/>
              <w:jc w:val="center"/>
              <w:rPr>
                <w:rFonts w:eastAsia="Arial"/>
                <w:color w:val="000000"/>
              </w:rPr>
            </w:pPr>
            <w:r>
              <w:rPr>
                <w:rFonts w:eastAsia="Arial"/>
                <w:color w:val="000000"/>
              </w:rPr>
              <w:t>Redacted under FOIA section 43, Commercial Interests</w:t>
            </w:r>
          </w:p>
          <w:p w:rsidR="008E5DA0" w:rsidRDefault="008E5DA0">
            <w:pPr>
              <w:spacing w:before="100" w:after="200"/>
              <w:jc w:val="center"/>
              <w:rPr>
                <w:i/>
                <w:color w:val="000000"/>
              </w:rPr>
            </w:pPr>
          </w:p>
        </w:tc>
        <w:tc>
          <w:tcPr>
            <w:tcW w:w="3089" w:type="dxa"/>
            <w:vAlign w:val="center"/>
          </w:tcPr>
          <w:p w:rsidR="008E5DA0" w:rsidRDefault="00ED4D36">
            <w:pPr>
              <w:spacing w:before="100" w:after="200"/>
              <w:jc w:val="center"/>
              <w:rPr>
                <w:i/>
                <w:color w:val="000000"/>
              </w:rPr>
            </w:pPr>
            <w:r>
              <w:rPr>
                <w:i/>
              </w:rPr>
              <w:t>Tested and reported yearly in arrears within 90 days of each [accounting reference date / half year end] based upon figures at the relevant accounting reference date</w:t>
            </w:r>
          </w:p>
        </w:tc>
      </w:tr>
      <w:tr w:rsidR="008E5DA0">
        <w:tc>
          <w:tcPr>
            <w:tcW w:w="2253" w:type="dxa"/>
            <w:vAlign w:val="center"/>
          </w:tcPr>
          <w:p w:rsidR="008E5DA0" w:rsidRDefault="00ED4D36">
            <w:pPr>
              <w:pBdr>
                <w:top w:val="nil"/>
                <w:left w:val="nil"/>
                <w:bottom w:val="nil"/>
                <w:right w:val="nil"/>
                <w:between w:val="nil"/>
              </w:pBdr>
              <w:spacing w:before="100" w:after="200"/>
              <w:jc w:val="left"/>
              <w:rPr>
                <w:b/>
                <w:color w:val="000000"/>
              </w:rPr>
            </w:pPr>
            <w:r>
              <w:rPr>
                <w:b/>
                <w:color w:val="000000"/>
              </w:rPr>
              <w:t>7</w:t>
            </w:r>
          </w:p>
          <w:p w:rsidR="008E5DA0" w:rsidRDefault="00ED4D36">
            <w:pPr>
              <w:pBdr>
                <w:top w:val="nil"/>
                <w:left w:val="nil"/>
                <w:bottom w:val="nil"/>
                <w:right w:val="nil"/>
                <w:between w:val="nil"/>
              </w:pBdr>
              <w:spacing w:before="100" w:after="200"/>
              <w:jc w:val="left"/>
              <w:rPr>
                <w:b/>
                <w:color w:val="000000"/>
              </w:rPr>
            </w:pPr>
            <w:r>
              <w:rPr>
                <w:b/>
                <w:color w:val="000000"/>
              </w:rPr>
              <w:t>Group Exposure Ratio</w:t>
            </w:r>
          </w:p>
        </w:tc>
        <w:tc>
          <w:tcPr>
            <w:tcW w:w="1977" w:type="dxa"/>
            <w:vAlign w:val="center"/>
          </w:tcPr>
          <w:p w:rsidR="008E5DA0" w:rsidRDefault="00ED4D36">
            <w:pPr>
              <w:pBdr>
                <w:top w:val="nil"/>
                <w:left w:val="nil"/>
                <w:bottom w:val="nil"/>
                <w:right w:val="nil"/>
                <w:between w:val="nil"/>
              </w:pBdr>
              <w:spacing w:before="100" w:after="200"/>
              <w:jc w:val="center"/>
              <w:rPr>
                <w:i/>
                <w:color w:val="000000"/>
              </w:rPr>
            </w:pPr>
            <w:r>
              <w:rPr>
                <w:i/>
                <w:color w:val="000000"/>
              </w:rPr>
              <w:t>Group Exposure / Gross Assets</w:t>
            </w:r>
          </w:p>
        </w:tc>
        <w:tc>
          <w:tcPr>
            <w:tcW w:w="1697" w:type="dxa"/>
            <w:vAlign w:val="center"/>
          </w:tcPr>
          <w:p w:rsidR="00A4728D" w:rsidRDefault="00A4728D" w:rsidP="00A4728D">
            <w:pPr>
              <w:spacing w:before="120"/>
              <w:ind w:left="142"/>
              <w:jc w:val="center"/>
              <w:rPr>
                <w:rFonts w:eastAsia="Arial"/>
                <w:color w:val="000000"/>
              </w:rPr>
            </w:pPr>
            <w:r>
              <w:rPr>
                <w:rFonts w:eastAsia="Arial"/>
                <w:color w:val="000000"/>
              </w:rPr>
              <w:t>Redacted under FOIA section 43, Commercial Interests</w:t>
            </w:r>
          </w:p>
          <w:p w:rsidR="008E5DA0" w:rsidRDefault="008E5DA0">
            <w:pPr>
              <w:spacing w:before="100" w:after="200"/>
              <w:jc w:val="center"/>
              <w:rPr>
                <w:i/>
                <w:color w:val="000000"/>
              </w:rPr>
            </w:pPr>
            <w:bookmarkStart w:id="39" w:name="_GoBack"/>
            <w:bookmarkEnd w:id="39"/>
          </w:p>
        </w:tc>
        <w:tc>
          <w:tcPr>
            <w:tcW w:w="3089" w:type="dxa"/>
            <w:vAlign w:val="center"/>
          </w:tcPr>
          <w:p w:rsidR="008E5DA0" w:rsidRDefault="00ED4D36">
            <w:pPr>
              <w:spacing w:before="100" w:after="200"/>
              <w:jc w:val="center"/>
              <w:rPr>
                <w:i/>
                <w:color w:val="000000"/>
              </w:rPr>
            </w:pPr>
            <w:r>
              <w:rPr>
                <w:i/>
              </w:rPr>
              <w:t>Tested and reported yearly in arrears within 90 days of each accounting reference date based upon figures at the relevant accounting reference date</w:t>
            </w:r>
          </w:p>
        </w:tc>
      </w:tr>
    </w:tbl>
    <w:p w:rsidR="008E5DA0" w:rsidRDefault="00ED4D36">
      <w:pPr>
        <w:pBdr>
          <w:top w:val="nil"/>
          <w:left w:val="nil"/>
          <w:bottom w:val="nil"/>
          <w:right w:val="nil"/>
          <w:between w:val="nil"/>
        </w:pBdr>
        <w:spacing w:before="120" w:after="120"/>
        <w:ind w:left="907" w:hanging="547"/>
        <w:jc w:val="left"/>
        <w:rPr>
          <w:color w:val="000000"/>
        </w:rPr>
      </w:pPr>
      <w:r>
        <w:rPr>
          <w:color w:val="000000"/>
        </w:rPr>
        <w:t xml:space="preserve">Key: </w:t>
      </w:r>
      <w:r>
        <w:rPr>
          <w:color w:val="000000"/>
          <w:vertAlign w:val="superscript"/>
        </w:rPr>
        <w:t>1</w:t>
      </w:r>
      <w:r>
        <w:rPr>
          <w:color w:val="000000"/>
        </w:rPr>
        <w:t xml:space="preserve"> – See Annex 4 </w:t>
      </w:r>
      <w:r>
        <w:rPr>
          <w:color w:val="000000"/>
        </w:rPr>
        <w:t>of this Schedule which sets out the calculation methodology to be used in the calculation of each Financial Indicator.</w:t>
      </w:r>
    </w:p>
    <w:p w:rsidR="008E5DA0" w:rsidRDefault="008E5DA0">
      <w:pPr>
        <w:spacing w:after="0"/>
      </w:pPr>
    </w:p>
    <w:p w:rsidR="008E5DA0" w:rsidRDefault="008E5DA0">
      <w:pPr>
        <w:spacing w:after="0"/>
      </w:pPr>
    </w:p>
    <w:p w:rsidR="008E5DA0" w:rsidRDefault="008E5DA0"/>
    <w:p w:rsidR="008E5DA0" w:rsidRDefault="008E5DA0"/>
    <w:sectPr w:rsidR="008E5DA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D36" w:rsidRDefault="00ED4D36">
      <w:pPr>
        <w:spacing w:after="0"/>
      </w:pPr>
      <w:r>
        <w:separator/>
      </w:r>
    </w:p>
  </w:endnote>
  <w:endnote w:type="continuationSeparator" w:id="0">
    <w:p w:rsidR="00ED4D36" w:rsidRDefault="00ED4D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DA0" w:rsidRDefault="008E5DA0">
    <w:pPr>
      <w:pBdr>
        <w:top w:val="nil"/>
        <w:left w:val="nil"/>
        <w:bottom w:val="nil"/>
        <w:right w:val="nil"/>
        <w:between w:val="nil"/>
      </w:pBdr>
      <w:tabs>
        <w:tab w:val="center" w:pos="4513"/>
        <w:tab w:val="right" w:pos="9026"/>
      </w:tabs>
      <w:spacing w:after="0"/>
      <w:rPr>
        <w:rFonts w:eastAsia="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DA0" w:rsidRDefault="00ED4D36">
    <w:pPr>
      <w:tabs>
        <w:tab w:val="center" w:pos="4513"/>
        <w:tab w:val="right" w:pos="9026"/>
      </w:tabs>
      <w:spacing w:after="0"/>
      <w:rPr>
        <w:color w:val="BFBFBF"/>
        <w:sz w:val="20"/>
        <w:szCs w:val="20"/>
      </w:rPr>
    </w:pPr>
    <w:r>
      <w:rPr>
        <w:color w:val="BFBFBF"/>
        <w:sz w:val="20"/>
        <w:szCs w:val="20"/>
      </w:rPr>
      <w:t>v.1.2</w:t>
    </w:r>
    <w:r>
      <w:rPr>
        <w:color w:val="BFBFBF"/>
        <w:sz w:val="20"/>
        <w:szCs w:val="20"/>
      </w:rPr>
      <w:tab/>
    </w:r>
    <w:r>
      <w:rPr>
        <w:color w:val="BFBFBF"/>
        <w:sz w:val="20"/>
        <w:szCs w:val="20"/>
      </w:rPr>
      <w:tab/>
      <w:t xml:space="preserve"> </w:t>
    </w:r>
    <w:r>
      <w:rPr>
        <w:color w:val="BFBFBF"/>
        <w:sz w:val="20"/>
        <w:szCs w:val="20"/>
      </w:rPr>
      <w:fldChar w:fldCharType="begin"/>
    </w:r>
    <w:r>
      <w:rPr>
        <w:color w:val="BFBFBF"/>
        <w:sz w:val="20"/>
        <w:szCs w:val="20"/>
      </w:rPr>
      <w:instrText>PAGE</w:instrText>
    </w:r>
    <w:r w:rsidR="00A4728D">
      <w:rPr>
        <w:color w:val="BFBFBF"/>
        <w:sz w:val="20"/>
        <w:szCs w:val="20"/>
      </w:rPr>
      <w:fldChar w:fldCharType="separate"/>
    </w:r>
    <w:r w:rsidR="00A4728D">
      <w:rPr>
        <w:noProof/>
        <w:color w:val="BFBFBF"/>
        <w:sz w:val="20"/>
        <w:szCs w:val="20"/>
      </w:rPr>
      <w:t>1</w:t>
    </w:r>
    <w:r>
      <w:rPr>
        <w:color w:val="BFBFBF"/>
        <w:sz w:val="20"/>
        <w:szCs w:val="20"/>
      </w:rPr>
      <w:fldChar w:fldCharType="end"/>
    </w:r>
  </w:p>
  <w:p w:rsidR="008E5DA0" w:rsidRDefault="008E5DA0">
    <w:pPr>
      <w:pBdr>
        <w:top w:val="nil"/>
        <w:left w:val="nil"/>
        <w:bottom w:val="nil"/>
        <w:right w:val="nil"/>
        <w:between w:val="nil"/>
      </w:pBdr>
      <w:tabs>
        <w:tab w:val="center" w:pos="4513"/>
        <w:tab w:val="right" w:pos="9026"/>
      </w:tabs>
      <w:spacing w:after="0"/>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DA0" w:rsidRDefault="00ED4D36">
    <w:pPr>
      <w:tabs>
        <w:tab w:val="center" w:pos="4513"/>
        <w:tab w:val="right" w:pos="9026"/>
      </w:tabs>
      <w:spacing w:after="0"/>
      <w:rPr>
        <w:color w:val="BFBFBF"/>
      </w:rPr>
    </w:pPr>
    <w:r>
      <w:rPr>
        <w:color w:val="BFBFBF"/>
      </w:rPr>
      <w:t>Framework Ref: RM</w:t>
    </w:r>
    <w:r>
      <w:rPr>
        <w:color w:val="BFBFBF"/>
      </w:rPr>
      <w:tab/>
      <w:t xml:space="preserve">                                           </w:t>
    </w:r>
  </w:p>
  <w:p w:rsidR="008E5DA0" w:rsidRDefault="00ED4D36">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8E5DA0" w:rsidRDefault="00ED4D36">
    <w:pPr>
      <w:spacing w:after="0"/>
      <w:rPr>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D36" w:rsidRDefault="00ED4D36">
      <w:pPr>
        <w:spacing w:after="0"/>
      </w:pPr>
      <w:r>
        <w:separator/>
      </w:r>
    </w:p>
  </w:footnote>
  <w:footnote w:type="continuationSeparator" w:id="0">
    <w:p w:rsidR="00ED4D36" w:rsidRDefault="00ED4D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DA0" w:rsidRDefault="008E5DA0">
    <w:pPr>
      <w:pBdr>
        <w:top w:val="nil"/>
        <w:left w:val="nil"/>
        <w:bottom w:val="nil"/>
        <w:right w:val="nil"/>
        <w:between w:val="nil"/>
      </w:pBdr>
      <w:tabs>
        <w:tab w:val="center" w:pos="4513"/>
        <w:tab w:val="right" w:pos="9026"/>
      </w:tabs>
      <w:spacing w:after="0"/>
      <w:rPr>
        <w:rFonts w:eastAsia="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DA0" w:rsidRDefault="008E5DA0">
    <w:pPr>
      <w:pBdr>
        <w:top w:val="nil"/>
        <w:left w:val="nil"/>
        <w:bottom w:val="nil"/>
        <w:right w:val="nil"/>
        <w:between w:val="nil"/>
      </w:pBdr>
      <w:tabs>
        <w:tab w:val="center" w:pos="4513"/>
        <w:tab w:val="right" w:pos="9026"/>
      </w:tabs>
      <w:spacing w:after="0"/>
      <w:rPr>
        <w:color w:val="000000"/>
        <w:sz w:val="20"/>
        <w:szCs w:val="20"/>
      </w:rPr>
    </w:pPr>
  </w:p>
  <w:p w:rsidR="008E5DA0" w:rsidRDefault="00ED4D36">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Schedule 24 (Financial Difficulties), Crown Copyright</w:t>
    </w:r>
    <w:r>
      <w:rPr>
        <w:color w:val="000000"/>
        <w:sz w:val="14"/>
        <w:szCs w:val="14"/>
      </w:rPr>
      <w:t xml:space="preserve"> </w:t>
    </w:r>
    <w:r>
      <w:rPr>
        <w:color w:val="000000"/>
        <w:sz w:val="20"/>
        <w:szCs w:val="20"/>
      </w:rPr>
      <w:t>2023, [Subject to Contract]</w:t>
    </w:r>
  </w:p>
  <w:p w:rsidR="008E5DA0" w:rsidRDefault="008E5DA0">
    <w:pPr>
      <w:pBdr>
        <w:top w:val="nil"/>
        <w:left w:val="nil"/>
        <w:bottom w:val="nil"/>
        <w:right w:val="nil"/>
        <w:between w:val="nil"/>
      </w:pBdr>
      <w:tabs>
        <w:tab w:val="center" w:pos="4513"/>
        <w:tab w:val="right" w:pos="9026"/>
      </w:tabs>
      <w:spacing w:after="0"/>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DA0" w:rsidRDefault="008E5DA0">
    <w:pPr>
      <w:pBdr>
        <w:top w:val="nil"/>
        <w:left w:val="nil"/>
        <w:bottom w:val="nil"/>
        <w:right w:val="nil"/>
        <w:between w:val="nil"/>
      </w:pBdr>
      <w:tabs>
        <w:tab w:val="center" w:pos="4513"/>
        <w:tab w:val="right" w:pos="9026"/>
      </w:tabs>
      <w:spacing w:after="0"/>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F9185E"/>
    <w:multiLevelType w:val="multilevel"/>
    <w:tmpl w:val="075CB47C"/>
    <w:lvl w:ilvl="0">
      <w:start w:val="1"/>
      <w:numFmt w:val="decimal"/>
      <w:pStyle w:val="GPSL1Numbered"/>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
      <w:lvlText w:val="%3."/>
      <w:lvlJc w:val="left"/>
      <w:pPr>
        <w:tabs>
          <w:tab w:val="num" w:pos="2160"/>
        </w:tabs>
        <w:ind w:left="2160" w:hanging="720"/>
      </w:pPr>
    </w:lvl>
    <w:lvl w:ilvl="3">
      <w:start w:val="1"/>
      <w:numFmt w:val="decimal"/>
      <w:pStyle w:val="GPSL4numbered"/>
      <w:lvlText w:val="%4."/>
      <w:lvlJc w:val="left"/>
      <w:pPr>
        <w:tabs>
          <w:tab w:val="num" w:pos="2880"/>
        </w:tabs>
        <w:ind w:left="2880" w:hanging="720"/>
      </w:pPr>
    </w:lvl>
    <w:lvl w:ilvl="4">
      <w:start w:val="1"/>
      <w:numFmt w:val="decimal"/>
      <w:pStyle w:val="GPSL5NUMBERE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D762F9B"/>
    <w:multiLevelType w:val="multilevel"/>
    <w:tmpl w:val="06844E0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10"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DA0"/>
    <w:rsid w:val="008E5DA0"/>
    <w:rsid w:val="00A4728D"/>
    <w:rsid w:val="00ED4D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B266F"/>
  <w15:docId w15:val="{EA82F7DA-F630-4CEF-9268-C055F7E87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8D3"/>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GPSL1Numbered">
    <w:name w:val="GPS L1 Numbered"/>
    <w:basedOn w:val="Normal"/>
    <w:rsid w:val="003D4A11"/>
    <w:pPr>
      <w:keepNext/>
      <w:numPr>
        <w:numId w:val="2"/>
      </w:numPr>
      <w:spacing w:before="120"/>
      <w:jc w:val="left"/>
    </w:pPr>
    <w:rPr>
      <w:rFonts w:asciiTheme="minorBidi" w:hAnsiTheme="minorBidi"/>
    </w:rPr>
  </w:style>
  <w:style w:type="paragraph" w:customStyle="1" w:styleId="GPSL2numberedclause">
    <w:name w:val="GPS L2 numbered clause"/>
    <w:basedOn w:val="Normal"/>
    <w:rsid w:val="003D4A11"/>
    <w:pPr>
      <w:numPr>
        <w:ilvl w:val="1"/>
        <w:numId w:val="2"/>
      </w:numPr>
      <w:spacing w:before="120" w:after="120"/>
      <w:jc w:val="left"/>
    </w:pPr>
    <w:rPr>
      <w:rFonts w:asciiTheme="minorBidi" w:hAnsiTheme="minorBidi"/>
    </w:rPr>
  </w:style>
  <w:style w:type="paragraph" w:customStyle="1" w:styleId="GPSL3NUMBERED">
    <w:name w:val="GPS L3 NUMBERED"/>
    <w:basedOn w:val="Normal"/>
    <w:rsid w:val="00E325B0"/>
    <w:pPr>
      <w:numPr>
        <w:ilvl w:val="2"/>
        <w:numId w:val="2"/>
      </w:numPr>
      <w:jc w:val="left"/>
    </w:pPr>
    <w:rPr>
      <w:rFonts w:asciiTheme="minorBidi" w:hAnsiTheme="minorBidi"/>
    </w:rPr>
  </w:style>
  <w:style w:type="paragraph" w:customStyle="1" w:styleId="GPSL4numbered">
    <w:name w:val="GPS L4 numbered"/>
    <w:basedOn w:val="Normal"/>
    <w:rsid w:val="002238CF"/>
    <w:pPr>
      <w:numPr>
        <w:ilvl w:val="3"/>
        <w:numId w:val="2"/>
      </w:numPr>
      <w:jc w:val="left"/>
    </w:pPr>
  </w:style>
  <w:style w:type="paragraph" w:customStyle="1" w:styleId="GPSL5NUMBERED">
    <w:name w:val="GPS L5 NUMBERED"/>
    <w:basedOn w:val="Normal"/>
    <w:rsid w:val="00E325B0"/>
    <w:pPr>
      <w:numPr>
        <w:ilvl w:val="4"/>
        <w:numId w:val="2"/>
      </w:numPr>
    </w:pPr>
  </w:style>
  <w:style w:type="paragraph" w:styleId="ListParagraph">
    <w:name w:val="List Paragraph"/>
    <w:basedOn w:val="Normal"/>
    <w:uiPriority w:val="34"/>
    <w:qFormat/>
    <w:rsid w:val="00E9195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rPr>
  </w:style>
  <w:style w:type="paragraph" w:customStyle="1" w:styleId="StdBodyTextBold">
    <w:name w:val="Std Body Text Bold"/>
    <w:basedOn w:val="Normal"/>
    <w:next w:val="Normal"/>
    <w:link w:val="StdBodyTextBoldChar"/>
    <w:qFormat/>
    <w:rsid w:val="0082449D"/>
    <w:pPr>
      <w:overflowPunct/>
      <w:autoSpaceDE/>
      <w:autoSpaceDN/>
      <w:adjustRightInd/>
      <w:spacing w:before="100" w:after="200"/>
      <w:jc w:val="left"/>
      <w:textAlignment w:val="auto"/>
    </w:pPr>
    <w:rPr>
      <w:rFonts w:cs="Times New Roman"/>
      <w:b/>
    </w:rPr>
  </w:style>
  <w:style w:type="character" w:customStyle="1" w:styleId="StdBodyTextBoldChar">
    <w:name w:val="Std Body Text Bold Char"/>
    <w:basedOn w:val="DefaultParagraphFont"/>
    <w:link w:val="StdBodyTextBold"/>
    <w:rsid w:val="0082449D"/>
    <w:rPr>
      <w:rFonts w:ascii="Arial" w:eastAsia="Times New Roman" w:hAnsi="Arial" w:cs="Times New Roman"/>
      <w:b/>
      <w:sz w:val="24"/>
      <w:szCs w:val="24"/>
      <w:lang w:eastAsia="en-GB"/>
    </w:rPr>
  </w:style>
  <w:style w:type="paragraph" w:customStyle="1" w:styleId="StdBodyText">
    <w:name w:val="Std Body Text"/>
    <w:basedOn w:val="Normal"/>
    <w:qFormat/>
    <w:rsid w:val="00C44DF0"/>
    <w:pPr>
      <w:overflowPunct/>
      <w:autoSpaceDE/>
      <w:autoSpaceDN/>
      <w:adjustRightInd/>
      <w:spacing w:before="100" w:after="200"/>
      <w:jc w:val="left"/>
      <w:textAlignment w:val="auto"/>
    </w:pPr>
    <w:rPr>
      <w:rFonts w:cs="Times New Roman"/>
    </w:rPr>
  </w:style>
  <w:style w:type="paragraph" w:customStyle="1" w:styleId="StdBodyText2">
    <w:name w:val="Std Body Text 2"/>
    <w:basedOn w:val="Normal"/>
    <w:rsid w:val="000407EB"/>
    <w:pPr>
      <w:overflowPunct/>
      <w:autoSpaceDE/>
      <w:autoSpaceDN/>
      <w:adjustRightInd/>
      <w:spacing w:before="100" w:after="200"/>
      <w:ind w:left="720"/>
      <w:jc w:val="left"/>
      <w:textAlignment w:val="auto"/>
    </w:pPr>
    <w:rPr>
      <w:rFonts w:cs="Times New Roman"/>
    </w:rPr>
  </w:style>
  <w:style w:type="paragraph" w:customStyle="1" w:styleId="AnnexHeading">
    <w:name w:val="Annex Heading"/>
    <w:basedOn w:val="Normal"/>
    <w:next w:val="Normal"/>
    <w:rsid w:val="000407EB"/>
    <w:pPr>
      <w:tabs>
        <w:tab w:val="num" w:pos="720"/>
      </w:tabs>
      <w:overflowPunct/>
      <w:autoSpaceDE/>
      <w:autoSpaceDN/>
      <w:adjustRightInd/>
      <w:spacing w:before="100" w:after="300"/>
      <w:ind w:left="720" w:hanging="720"/>
      <w:jc w:val="center"/>
      <w:textAlignment w:val="auto"/>
    </w:pPr>
    <w:rPr>
      <w:rFonts w:ascii="Arial Bold" w:hAnsi="Arial Bold" w:cs="Times New Roman"/>
      <w:b/>
      <w:caps/>
    </w:rPr>
  </w:style>
  <w:style w:type="paragraph" w:customStyle="1" w:styleId="AppendixText1">
    <w:name w:val="Appendix Text 1"/>
    <w:basedOn w:val="Normal"/>
    <w:next w:val="Normal"/>
    <w:rsid w:val="000407EB"/>
    <w:pPr>
      <w:tabs>
        <w:tab w:val="num" w:pos="720"/>
      </w:tabs>
      <w:overflowPunct/>
      <w:autoSpaceDE/>
      <w:autoSpaceDN/>
      <w:adjustRightInd/>
      <w:spacing w:before="100" w:after="200"/>
      <w:ind w:left="720" w:hanging="720"/>
      <w:jc w:val="left"/>
      <w:textAlignment w:val="auto"/>
    </w:pPr>
    <w:rPr>
      <w:rFonts w:cs="Times New Roman"/>
      <w:b/>
    </w:rPr>
  </w:style>
  <w:style w:type="paragraph" w:customStyle="1" w:styleId="AppendixText2">
    <w:name w:val="Appendix Text 2"/>
    <w:basedOn w:val="AppendixText1"/>
    <w:next w:val="StdBodyText2"/>
    <w:rsid w:val="000407EB"/>
    <w:pPr>
      <w:numPr>
        <w:ilvl w:val="1"/>
      </w:numPr>
      <w:tabs>
        <w:tab w:val="num" w:pos="720"/>
      </w:tabs>
      <w:ind w:left="720" w:hanging="720"/>
    </w:pPr>
    <w:rPr>
      <w:b w:val="0"/>
    </w:rPr>
  </w:style>
  <w:style w:type="paragraph" w:customStyle="1" w:styleId="AppendixText3">
    <w:name w:val="Appendix Text 3"/>
    <w:basedOn w:val="Normal"/>
    <w:next w:val="Normal"/>
    <w:rsid w:val="000407EB"/>
    <w:pPr>
      <w:tabs>
        <w:tab w:val="left" w:pos="720"/>
        <w:tab w:val="left" w:pos="1803"/>
        <w:tab w:val="num" w:pos="2160"/>
      </w:tabs>
      <w:overflowPunct/>
      <w:autoSpaceDE/>
      <w:autoSpaceDN/>
      <w:adjustRightInd/>
      <w:spacing w:before="100" w:after="200"/>
      <w:ind w:left="2160" w:hanging="720"/>
      <w:jc w:val="left"/>
      <w:textAlignment w:val="auto"/>
    </w:pPr>
    <w:rPr>
      <w:rFonts w:cs="Times New Roman"/>
    </w:rPr>
  </w:style>
  <w:style w:type="paragraph" w:customStyle="1" w:styleId="AppendixText4">
    <w:name w:val="Appendix Text 4"/>
    <w:basedOn w:val="Normal"/>
    <w:next w:val="Normal"/>
    <w:rsid w:val="000407EB"/>
    <w:pPr>
      <w:tabs>
        <w:tab w:val="left" w:pos="720"/>
        <w:tab w:val="left" w:pos="1803"/>
        <w:tab w:val="num" w:pos="2880"/>
      </w:tabs>
      <w:overflowPunct/>
      <w:autoSpaceDE/>
      <w:autoSpaceDN/>
      <w:adjustRightInd/>
      <w:spacing w:before="100" w:after="200"/>
      <w:ind w:left="2880" w:hanging="720"/>
      <w:jc w:val="left"/>
      <w:textAlignment w:val="auto"/>
    </w:pPr>
    <w:rPr>
      <w:rFonts w:cs="Times New Roman"/>
    </w:rPr>
  </w:style>
  <w:style w:type="paragraph" w:customStyle="1" w:styleId="AppendixText5">
    <w:name w:val="Appendix Text 5"/>
    <w:basedOn w:val="Normal"/>
    <w:next w:val="Normal"/>
    <w:rsid w:val="000407EB"/>
    <w:pPr>
      <w:tabs>
        <w:tab w:val="left" w:pos="720"/>
        <w:tab w:val="left" w:pos="2523"/>
        <w:tab w:val="num" w:pos="3600"/>
      </w:tabs>
      <w:overflowPunct/>
      <w:autoSpaceDE/>
      <w:autoSpaceDN/>
      <w:adjustRightInd/>
      <w:spacing w:before="100" w:after="200"/>
      <w:ind w:left="3600" w:hanging="720"/>
      <w:jc w:val="left"/>
      <w:textAlignment w:val="auto"/>
    </w:pPr>
    <w:rPr>
      <w:rFonts w:cs="Times New Roman"/>
    </w:rPr>
  </w:style>
  <w:style w:type="paragraph" w:customStyle="1" w:styleId="AppendixText6">
    <w:name w:val="Appendix Text 6"/>
    <w:basedOn w:val="AppendixText5"/>
    <w:rsid w:val="000407EB"/>
    <w:pPr>
      <w:numPr>
        <w:ilvl w:val="5"/>
      </w:numPr>
      <w:tabs>
        <w:tab w:val="num" w:pos="3600"/>
      </w:tabs>
      <w:ind w:left="3600" w:hanging="720"/>
    </w:pPr>
  </w:style>
  <w:style w:type="character" w:styleId="FollowedHyperlink">
    <w:name w:val="FollowedHyperlink"/>
    <w:basedOn w:val="DefaultParagraphFont"/>
    <w:uiPriority w:val="99"/>
    <w:semiHidden/>
    <w:unhideWhenUsed/>
    <w:rsid w:val="008922C2"/>
    <w:rPr>
      <w:color w:val="800080" w:themeColor="followedHyperlink"/>
      <w:u w:val="single"/>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table" w:customStyle="1" w:styleId="a7">
    <w:basedOn w:val="TableNormal"/>
    <w:pPr>
      <w:spacing w:after="0"/>
    </w:pPr>
    <w:rPr>
      <w:sz w:val="20"/>
      <w:szCs w:val="20"/>
    </w:rPr>
    <w:tblPr>
      <w:tblStyleRowBandSize w:val="1"/>
      <w:tblStyleColBandSize w:val="1"/>
      <w:tblCellMar>
        <w:left w:w="115" w:type="dxa"/>
        <w:right w:w="115" w:type="dxa"/>
      </w:tblCellMar>
    </w:tblPr>
  </w:style>
  <w:style w:type="table" w:customStyle="1" w:styleId="a8">
    <w:basedOn w:val="TableNormal"/>
    <w:pPr>
      <w:spacing w:after="0"/>
    </w:pPr>
    <w:rPr>
      <w:sz w:val="20"/>
      <w:szCs w:val="20"/>
    </w:rPr>
    <w:tblPr>
      <w:tblStyleRowBandSize w:val="1"/>
      <w:tblStyleColBandSize w:val="1"/>
      <w:tblCellMar>
        <w:left w:w="115" w:type="dxa"/>
        <w:right w:w="115" w:type="dxa"/>
      </w:tblCellMar>
    </w:tblPr>
  </w:style>
  <w:style w:type="table" w:customStyle="1" w:styleId="a9">
    <w:basedOn w:val="TableNormal"/>
    <w:pPr>
      <w:spacing w:after="0"/>
    </w:pPr>
    <w:rPr>
      <w:sz w:val="20"/>
      <w:szCs w:val="20"/>
    </w:rPr>
    <w:tblPr>
      <w:tblStyleRowBandSize w:val="1"/>
      <w:tblStyleColBandSize w:val="1"/>
      <w:tblCellMar>
        <w:left w:w="115" w:type="dxa"/>
        <w:right w:w="115" w:type="dxa"/>
      </w:tblCellMar>
    </w:tblPr>
  </w:style>
  <w:style w:type="table" w:customStyle="1" w:styleId="aa">
    <w:basedOn w:val="TableNormal"/>
    <w:pPr>
      <w:spacing w:after="0"/>
    </w:pPr>
    <w:rPr>
      <w:sz w:val="20"/>
      <w:szCs w:val="20"/>
    </w:rPr>
    <w:tblPr>
      <w:tblStyleRowBandSize w:val="1"/>
      <w:tblStyleColBandSize w:val="1"/>
      <w:tblCellMar>
        <w:left w:w="115" w:type="dxa"/>
        <w:right w:w="115" w:type="dxa"/>
      </w:tblCellMar>
    </w:tblPr>
  </w:style>
  <w:style w:type="table" w:customStyle="1" w:styleId="ab">
    <w:basedOn w:val="TableNormal"/>
    <w:pPr>
      <w:spacing w:after="0"/>
    </w:pPr>
    <w:rPr>
      <w:sz w:val="20"/>
      <w:szCs w:val="20"/>
    </w:rPr>
    <w:tblPr>
      <w:tblStyleRowBandSize w:val="1"/>
      <w:tblStyleColBandSize w:val="1"/>
      <w:tblCellMar>
        <w:left w:w="115" w:type="dxa"/>
        <w:right w:w="115" w:type="dxa"/>
      </w:tblCellMar>
    </w:tblPr>
  </w:style>
  <w:style w:type="table" w:customStyle="1" w:styleId="ac">
    <w:basedOn w:val="TableNormal"/>
    <w:pPr>
      <w:spacing w:after="0"/>
    </w:pPr>
    <w:rPr>
      <w:sz w:val="20"/>
      <w:szCs w:val="20"/>
    </w:rPr>
    <w:tblPr>
      <w:tblStyleRowBandSize w:val="1"/>
      <w:tblStyleColBandSize w:val="1"/>
      <w:tblCellMar>
        <w:left w:w="115" w:type="dxa"/>
        <w:right w:w="115" w:type="dxa"/>
      </w:tblCellMar>
    </w:tblPr>
  </w:style>
  <w:style w:type="table" w:customStyle="1" w:styleId="ad">
    <w:basedOn w:val="TableNormal"/>
    <w:pPr>
      <w:spacing w:after="0"/>
    </w:pPr>
    <w:rPr>
      <w:sz w:val="20"/>
      <w:szCs w:val="20"/>
    </w:rPr>
    <w:tblPr>
      <w:tblStyleRowBandSize w:val="1"/>
      <w:tblStyleColBandSize w:val="1"/>
      <w:tblCellMar>
        <w:left w:w="115" w:type="dxa"/>
        <w:right w:w="115" w:type="dxa"/>
      </w:tblCellMar>
    </w:tblPr>
  </w:style>
  <w:style w:type="table" w:customStyle="1" w:styleId="ae">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3403">
      <w:bodyDiv w:val="1"/>
      <w:marLeft w:val="0"/>
      <w:marRight w:val="0"/>
      <w:marTop w:val="0"/>
      <w:marBottom w:val="0"/>
      <w:divBdr>
        <w:top w:val="none" w:sz="0" w:space="0" w:color="auto"/>
        <w:left w:val="none" w:sz="0" w:space="0" w:color="auto"/>
        <w:bottom w:val="none" w:sz="0" w:space="0" w:color="auto"/>
        <w:right w:val="none" w:sz="0" w:space="0" w:color="auto"/>
      </w:divBdr>
    </w:div>
    <w:div w:id="336154718">
      <w:bodyDiv w:val="1"/>
      <w:marLeft w:val="0"/>
      <w:marRight w:val="0"/>
      <w:marTop w:val="0"/>
      <w:marBottom w:val="0"/>
      <w:divBdr>
        <w:top w:val="none" w:sz="0" w:space="0" w:color="auto"/>
        <w:left w:val="none" w:sz="0" w:space="0" w:color="auto"/>
        <w:bottom w:val="none" w:sz="0" w:space="0" w:color="auto"/>
        <w:right w:val="none" w:sz="0" w:space="0" w:color="auto"/>
      </w:divBdr>
    </w:div>
    <w:div w:id="442505870">
      <w:bodyDiv w:val="1"/>
      <w:marLeft w:val="0"/>
      <w:marRight w:val="0"/>
      <w:marTop w:val="0"/>
      <w:marBottom w:val="0"/>
      <w:divBdr>
        <w:top w:val="none" w:sz="0" w:space="0" w:color="auto"/>
        <w:left w:val="none" w:sz="0" w:space="0" w:color="auto"/>
        <w:bottom w:val="none" w:sz="0" w:space="0" w:color="auto"/>
        <w:right w:val="none" w:sz="0" w:space="0" w:color="auto"/>
      </w:divBdr>
    </w:div>
    <w:div w:id="858546452">
      <w:bodyDiv w:val="1"/>
      <w:marLeft w:val="0"/>
      <w:marRight w:val="0"/>
      <w:marTop w:val="0"/>
      <w:marBottom w:val="0"/>
      <w:divBdr>
        <w:top w:val="none" w:sz="0" w:space="0" w:color="auto"/>
        <w:left w:val="none" w:sz="0" w:space="0" w:color="auto"/>
        <w:bottom w:val="none" w:sz="0" w:space="0" w:color="auto"/>
        <w:right w:val="none" w:sz="0" w:space="0" w:color="auto"/>
      </w:divBdr>
    </w:div>
    <w:div w:id="1001276833">
      <w:bodyDiv w:val="1"/>
      <w:marLeft w:val="0"/>
      <w:marRight w:val="0"/>
      <w:marTop w:val="0"/>
      <w:marBottom w:val="0"/>
      <w:divBdr>
        <w:top w:val="none" w:sz="0" w:space="0" w:color="auto"/>
        <w:left w:val="none" w:sz="0" w:space="0" w:color="auto"/>
        <w:bottom w:val="none" w:sz="0" w:space="0" w:color="auto"/>
        <w:right w:val="none" w:sz="0" w:space="0" w:color="auto"/>
      </w:divBdr>
    </w:div>
    <w:div w:id="1162694851">
      <w:bodyDiv w:val="1"/>
      <w:marLeft w:val="0"/>
      <w:marRight w:val="0"/>
      <w:marTop w:val="0"/>
      <w:marBottom w:val="0"/>
      <w:divBdr>
        <w:top w:val="none" w:sz="0" w:space="0" w:color="auto"/>
        <w:left w:val="none" w:sz="0" w:space="0" w:color="auto"/>
        <w:bottom w:val="none" w:sz="0" w:space="0" w:color="auto"/>
        <w:right w:val="none" w:sz="0" w:space="0" w:color="auto"/>
      </w:divBdr>
    </w:div>
    <w:div w:id="1526676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IKuADrbuE8nucV2tBs2ifjCCRg==">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2828</Words>
  <Characters>16120</Characters>
  <Application>Microsoft Office Word</Application>
  <DocSecurity>0</DocSecurity>
  <Lines>134</Lines>
  <Paragraphs>37</Paragraphs>
  <ScaleCrop>false</ScaleCrop>
  <Company/>
  <LinksUpToDate>false</LinksUpToDate>
  <CharactersWithSpaces>18911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Harry Jackson</dc:creator>
  <cp:lastModifiedBy>Adam Cureton</cp:lastModifiedBy>
  <cp:revision>2</cp:revision>
  <dcterms:created xsi:type="dcterms:W3CDTF">2023-10-04T15:06:00Z</dcterms:created>
  <dcterms:modified xsi:type="dcterms:W3CDTF">2024-10-17T13:23:00Z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59deafc9-d46a-40d6-ae29-60880d83e9c8</vt:lpwstr>
  </property>
</Properties>
</file>